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F978" w14:textId="77777777" w:rsidR="00F64172" w:rsidRDefault="00D1058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Nagykanizsa Megyei Jogú Város Önkormányzata Közgyűlésének </w:t>
      </w:r>
    </w:p>
    <w:p w14:paraId="0D7F0448" w14:textId="12016E5F" w:rsidR="00893FDB" w:rsidRDefault="00D1058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12/2021. (V. 28.) önkormányzati rendelete</w:t>
      </w:r>
    </w:p>
    <w:p w14:paraId="5CD3FAEC" w14:textId="77777777" w:rsidR="00893FDB" w:rsidRDefault="00D1058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Nagykanizsa Megyei Jogú Város Önkormányzata 2020. évi költségvetési zárszámadásáról</w:t>
      </w:r>
    </w:p>
    <w:p w14:paraId="4B4E157D" w14:textId="77777777" w:rsidR="00893FDB" w:rsidRDefault="00D10586">
      <w:pPr>
        <w:pStyle w:val="Szvegtrzs"/>
        <w:spacing w:before="220" w:after="0" w:line="240" w:lineRule="auto"/>
        <w:jc w:val="both"/>
      </w:pPr>
      <w:r>
        <w:t xml:space="preserve">Nagykanizsa Megyei Jogú Város Polgármestere a </w:t>
      </w:r>
      <w:r>
        <w:t>veszélyhelyzet kihirdetéséről és a veszélyhelyzeti intézkedések hatálybalépéséről szóló 27/2021. (I.29.) Korm. rendelettel kihirdetett veszélyhelyzetben a katasztrófavédelemről és a hozzá kapcsolódó egyes törvények módosításairól szóló 2011. évi CXXVIII. t</w:t>
      </w:r>
      <w:r>
        <w:t>örvény 46. § (4) bekezdésében biztosított felhatalmazás alapján Nagykanizsa Megyei Jogú Város Közgyűlésének az Alaptörvény 32. cikk (2) bekezdésében meghatározott eredeti jogalkotói hatáskörében, az Alaptörvény 32. cikk (1) bekezdés f) pontjában meghatároz</w:t>
      </w:r>
      <w:r>
        <w:t>ott feladatkörében eljárva, az államháztartásról szóló 2011. évi CXCV. törvény 91. § (1) bekezdésében kapott felhatalmazás alapján a 2020. évi költségvetési zárszámadásról a következőket rendeli el.</w:t>
      </w:r>
    </w:p>
    <w:p w14:paraId="0D9B2984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14945CE9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ABD13B7" w14:textId="77777777" w:rsidR="00893FDB" w:rsidRDefault="00D10586">
      <w:pPr>
        <w:pStyle w:val="Szvegtrzs"/>
        <w:spacing w:before="220" w:after="0" w:line="240" w:lineRule="auto"/>
        <w:jc w:val="both"/>
      </w:pPr>
      <w:r>
        <w:t>A rendelet hatálya kiterjed Na</w:t>
      </w:r>
      <w:r>
        <w:t>gykanizsa Megyei Jogú Város Közgyűlésére, annak szerveire és bizottságaira, Nagykanizsa Megyei Jogú Város Önkormányzatára és költségvetési szerveire (a továbbiakban: Önkormányzat). A rendelet alkalmazásakor önkormányzati költségvetési szerv Nagykanizsa Meg</w:t>
      </w:r>
      <w:r>
        <w:t>yei Jogú Város Önkormányzata valamennyi intézménye, beleértve Nagykanizsa Megyei Jogú Város Polgármesteri Hivatalát.</w:t>
      </w:r>
    </w:p>
    <w:p w14:paraId="62AA0861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Az Önkormányzat bevételei és kiadásai</w:t>
      </w:r>
    </w:p>
    <w:p w14:paraId="30105438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D7BC028" w14:textId="77777777" w:rsidR="00893FDB" w:rsidRDefault="00D10586">
      <w:pPr>
        <w:pStyle w:val="Szvegtrzs"/>
        <w:spacing w:before="220" w:after="0" w:line="240" w:lineRule="auto"/>
        <w:jc w:val="both"/>
      </w:pPr>
      <w:r>
        <w:t>(1) Nagykanizsa Megyei Jogú Város Közgyűlése (a továbbiakban: Közgyűlés) a 2020. évi költségv</w:t>
      </w:r>
      <w:r>
        <w:t>etésének végrehajtásáról szóló zárszámadást a döntési javaslatban és mellékleteiben foglaltaknak megfelelően jóváhagyja.</w:t>
      </w:r>
    </w:p>
    <w:p w14:paraId="0F87BA3E" w14:textId="77777777" w:rsidR="00893FDB" w:rsidRDefault="00D10586">
      <w:pPr>
        <w:pStyle w:val="Szvegtrzs"/>
        <w:spacing w:before="220" w:after="0" w:line="240" w:lineRule="auto"/>
        <w:jc w:val="both"/>
      </w:pPr>
      <w:r>
        <w:t xml:space="preserve">(2) A Közgyűlés az Önkormányzat 2020. évi költségvetési beszámoló folyó kiadási fő összegét 14 451 060 e Ft-ban állapítja meg, melyből </w:t>
      </w:r>
      <w:r>
        <w:rPr>
          <w:b/>
          <w:bCs/>
        </w:rPr>
        <w:t>működési kiadás</w:t>
      </w:r>
      <w:r>
        <w:t xml:space="preserve"> </w:t>
      </w:r>
      <w:r>
        <w:rPr>
          <w:b/>
          <w:bCs/>
        </w:rPr>
        <w:t>7</w:t>
      </w:r>
      <w:r>
        <w:t xml:space="preserve"> </w:t>
      </w:r>
      <w:r>
        <w:rPr>
          <w:b/>
          <w:bCs/>
        </w:rPr>
        <w:t>520</w:t>
      </w:r>
      <w:r>
        <w:t xml:space="preserve"> </w:t>
      </w:r>
      <w:r>
        <w:rPr>
          <w:b/>
          <w:bCs/>
        </w:rPr>
        <w:t>548 e Ft, felhalmozási kiadás</w:t>
      </w:r>
      <w:r>
        <w:t xml:space="preserve"> </w:t>
      </w:r>
      <w:r>
        <w:rPr>
          <w:b/>
          <w:bCs/>
        </w:rPr>
        <w:t>6 930</w:t>
      </w:r>
      <w:r>
        <w:t xml:space="preserve"> </w:t>
      </w:r>
      <w:r>
        <w:rPr>
          <w:b/>
          <w:bCs/>
        </w:rPr>
        <w:t>512 e Ft.</w:t>
      </w:r>
    </w:p>
    <w:p w14:paraId="65008BCD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 xml:space="preserve">a) </w:t>
      </w:r>
      <w:r>
        <w:rPr>
          <w:b/>
          <w:bCs/>
        </w:rPr>
        <w:t>Működési kiadáson belül:</w:t>
      </w:r>
    </w:p>
    <w:p w14:paraId="610028EA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aa</w:t>
      </w:r>
      <w:proofErr w:type="spellEnd"/>
      <w:r>
        <w:t>) költségvetési létszámkeret 400,75 fő</w:t>
      </w:r>
    </w:p>
    <w:p w14:paraId="5E2E72FF" w14:textId="77777777" w:rsidR="00893FDB" w:rsidRDefault="00D10586">
      <w:pPr>
        <w:pStyle w:val="Szvegtrzs"/>
        <w:spacing w:after="0" w:line="240" w:lineRule="auto"/>
        <w:ind w:left="400"/>
        <w:jc w:val="both"/>
      </w:pPr>
      <w:r>
        <w:t>ab) személyi jellegű kiadások 1 831 630 e Ft</w:t>
      </w:r>
    </w:p>
    <w:p w14:paraId="36FE803F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ac</w:t>
      </w:r>
      <w:proofErr w:type="spellEnd"/>
      <w:r>
        <w:t>) munkaadókat terhelő járulékok 323 914 e Ft</w:t>
      </w:r>
    </w:p>
    <w:p w14:paraId="5C8AC208" w14:textId="77777777" w:rsidR="00893FDB" w:rsidRDefault="00D10586">
      <w:pPr>
        <w:pStyle w:val="Szvegtrzs"/>
        <w:spacing w:after="0" w:line="240" w:lineRule="auto"/>
        <w:ind w:left="400"/>
        <w:jc w:val="both"/>
      </w:pPr>
      <w:r>
        <w:t>ad) dologi jellegű kiadások</w:t>
      </w:r>
      <w:r>
        <w:t xml:space="preserve"> 3 413 625 e Ft</w:t>
      </w:r>
    </w:p>
    <w:p w14:paraId="5242A23E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ae</w:t>
      </w:r>
      <w:proofErr w:type="spellEnd"/>
      <w:r>
        <w:t>) társadalom-, szociálpolitikai juttatások 75 665 e Ft</w:t>
      </w:r>
    </w:p>
    <w:p w14:paraId="61570F98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af</w:t>
      </w:r>
      <w:proofErr w:type="spellEnd"/>
      <w:r>
        <w:t>) működési célú pénzeszköz átadások és kiegészítések 1 875 714 e Ft.</w:t>
      </w:r>
    </w:p>
    <w:p w14:paraId="63FE29B6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b/>
          <w:bCs/>
        </w:rPr>
        <w:t>Felhalmozási kiadáson belül:</w:t>
      </w:r>
    </w:p>
    <w:p w14:paraId="28930FBF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ba</w:t>
      </w:r>
      <w:proofErr w:type="spellEnd"/>
      <w:r>
        <w:t>) beruházási kiadások 5 128 118 e Ft</w:t>
      </w:r>
    </w:p>
    <w:p w14:paraId="2CCFEA0E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bb</w:t>
      </w:r>
      <w:proofErr w:type="spellEnd"/>
      <w:r>
        <w:t>) felújítási kiadások 823 186 e Ft</w:t>
      </w:r>
    </w:p>
    <w:p w14:paraId="3F52E27E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bc</w:t>
      </w:r>
      <w:proofErr w:type="spellEnd"/>
      <w:r>
        <w:t xml:space="preserve">) </w:t>
      </w:r>
      <w:r>
        <w:t>egyéb felhalmozási célú kiadások 979 208 e Ft</w:t>
      </w:r>
    </w:p>
    <w:p w14:paraId="69C7D995" w14:textId="77777777" w:rsidR="00893FDB" w:rsidRDefault="00D10586">
      <w:pPr>
        <w:pStyle w:val="Szvegtrzs"/>
        <w:spacing w:before="220" w:after="0" w:line="240" w:lineRule="auto"/>
        <w:jc w:val="both"/>
      </w:pPr>
      <w:r>
        <w:t xml:space="preserve">(3) A Közgyűlés a költségvetési beszámoló folyó bevétel fő összegét 8 432 586 e Ft összegben állapítja meg, melyből </w:t>
      </w:r>
      <w:r>
        <w:rPr>
          <w:b/>
          <w:bCs/>
        </w:rPr>
        <w:t>működési bevétel 8 098 191 e Ft, felhalmozási bevétel</w:t>
      </w:r>
      <w:r>
        <w:t xml:space="preserve"> </w:t>
      </w:r>
      <w:r>
        <w:rPr>
          <w:b/>
          <w:bCs/>
        </w:rPr>
        <w:t>334 395</w:t>
      </w:r>
      <w:r>
        <w:t xml:space="preserve"> </w:t>
      </w:r>
      <w:r>
        <w:rPr>
          <w:b/>
          <w:bCs/>
        </w:rPr>
        <w:t>e Ft.</w:t>
      </w:r>
    </w:p>
    <w:p w14:paraId="32F312DB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 xml:space="preserve">a) </w:t>
      </w:r>
      <w:r>
        <w:rPr>
          <w:b/>
          <w:bCs/>
        </w:rPr>
        <w:t xml:space="preserve">Működési </w:t>
      </w:r>
      <w:r>
        <w:rPr>
          <w:b/>
          <w:bCs/>
        </w:rPr>
        <w:t>bevételen belül:</w:t>
      </w:r>
    </w:p>
    <w:p w14:paraId="32271A5A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aa</w:t>
      </w:r>
      <w:proofErr w:type="spellEnd"/>
      <w:r>
        <w:t>) működési célú támogatások 3 550 777 e Ft</w:t>
      </w:r>
    </w:p>
    <w:p w14:paraId="212AAA6A" w14:textId="77777777" w:rsidR="00893FDB" w:rsidRDefault="00D10586">
      <w:pPr>
        <w:pStyle w:val="Szvegtrzs"/>
        <w:spacing w:after="0" w:line="240" w:lineRule="auto"/>
        <w:ind w:left="400"/>
        <w:jc w:val="both"/>
      </w:pPr>
      <w:r>
        <w:t>ab) közhatalmi bevételek 3 558 376 e Ft</w:t>
      </w:r>
    </w:p>
    <w:p w14:paraId="7CD8756D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ac</w:t>
      </w:r>
      <w:proofErr w:type="spellEnd"/>
      <w:r>
        <w:t>) működési bevételek 953 145 e Ft</w:t>
      </w:r>
    </w:p>
    <w:p w14:paraId="171DDD65" w14:textId="77777777" w:rsidR="00893FDB" w:rsidRDefault="00D10586">
      <w:pPr>
        <w:pStyle w:val="Szvegtrzs"/>
        <w:spacing w:after="0" w:line="240" w:lineRule="auto"/>
        <w:ind w:left="400"/>
        <w:jc w:val="both"/>
      </w:pPr>
      <w:r>
        <w:t>ad) működési célú átvett pénzeszközök 35 893 e Ft.</w:t>
      </w:r>
    </w:p>
    <w:p w14:paraId="6FC33CD6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b/>
          <w:bCs/>
        </w:rPr>
        <w:t>Felhalmozási és tőke jellegű bevételeken belül:</w:t>
      </w:r>
    </w:p>
    <w:p w14:paraId="3001D315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ba</w:t>
      </w:r>
      <w:proofErr w:type="spellEnd"/>
      <w:r>
        <w:t>) felhalmozási</w:t>
      </w:r>
      <w:r>
        <w:t xml:space="preserve"> célú támogatások 285 957 e Ft</w:t>
      </w:r>
    </w:p>
    <w:p w14:paraId="510B917D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bb</w:t>
      </w:r>
      <w:proofErr w:type="spellEnd"/>
      <w:r>
        <w:t>) felhalmozási bevételek (tárgyieszköz értékesítés, pénzügyi befektetések bevételei) 46 287 e Ft</w:t>
      </w:r>
    </w:p>
    <w:p w14:paraId="43D93F7A" w14:textId="77777777" w:rsidR="00893FDB" w:rsidRDefault="00D10586">
      <w:pPr>
        <w:pStyle w:val="Szvegtrzs"/>
        <w:spacing w:after="0" w:line="240" w:lineRule="auto"/>
        <w:ind w:left="400"/>
        <w:jc w:val="both"/>
      </w:pPr>
      <w:proofErr w:type="spellStart"/>
      <w:r>
        <w:t>bc</w:t>
      </w:r>
      <w:proofErr w:type="spellEnd"/>
      <w:r>
        <w:t>) felhalmozási célú átvett pénzeszközök 2 151 e Ft.</w:t>
      </w:r>
    </w:p>
    <w:p w14:paraId="006507B6" w14:textId="77777777" w:rsidR="00893FDB" w:rsidRDefault="00D10586">
      <w:pPr>
        <w:pStyle w:val="Szvegtrzs"/>
        <w:spacing w:before="220" w:after="0" w:line="240" w:lineRule="auto"/>
        <w:jc w:val="both"/>
      </w:pPr>
      <w:r>
        <w:t>(4) A Közgyűlés az Önkormányzat finanszírozási kiadásait 166 258 e Ft-ba</w:t>
      </w:r>
      <w:r>
        <w:t>n, állapítja meg, melyből 2020. évi önkormányzati feladatokra kapott előleg visszafizetésére 74 316 e Ft-ot, TB és CST ellátások megelőlegezésének visszatérítésére 91 942 e Ft-ot fordított.</w:t>
      </w:r>
    </w:p>
    <w:p w14:paraId="3EE5832B" w14:textId="77777777" w:rsidR="00893FDB" w:rsidRDefault="00D10586">
      <w:pPr>
        <w:pStyle w:val="Szvegtrzs"/>
        <w:spacing w:before="220" w:after="0" w:line="240" w:lineRule="auto"/>
        <w:jc w:val="both"/>
      </w:pPr>
      <w:r>
        <w:t>(5) A Közgyűlés az Önkormányzat finanszírozási bevételeit 15 535 8</w:t>
      </w:r>
      <w:r>
        <w:t>69 e Ft-ban, ezen belül az önkormányzat maradványát 15 331 954 e Ft-ban állapítja meg a közgyűlés, melyből 3 285 241 e Ft működési célú, 12 046 713 e Ft fejlesztési célú maradvány. A költségvetési hiány külső finanszírozásának összege 0 e Ft, belföldi érté</w:t>
      </w:r>
      <w:r>
        <w:t>kpapír beváltása 0 e Ft. A 2021. évi feladatokra az önkormányzat 111 973 e Ft előlegben részesült, TB és CST ellátások megelőlegezésére 91 942 e Ft-ot kapott. A zárszámadás bevételeinek és kiadásainak egyenlege 9 351 137 e Ft</w:t>
      </w:r>
    </w:p>
    <w:p w14:paraId="05E5EF5A" w14:textId="77777777" w:rsidR="00893FDB" w:rsidRDefault="00D10586">
      <w:pPr>
        <w:pStyle w:val="Szvegtrzs"/>
        <w:spacing w:before="220" w:after="0" w:line="240" w:lineRule="auto"/>
        <w:jc w:val="both"/>
      </w:pPr>
      <w:r>
        <w:t xml:space="preserve">(6) A Közgyűlés a zárszámadás </w:t>
      </w:r>
      <w:r>
        <w:t>bevételi és kiadási főösszegeit az (1/1. melléklet), a költségvetési szervek bevételeit forrásonként (1/2, 1/3, 1/4, 1/5, 1/6, 1/6/a, 1/7, 1/8. melléklet) a működési és fenntartási kiadásokat költségvetési szervenként, intézményen belül kiemelt előirányzat</w:t>
      </w:r>
      <w:r>
        <w:t>onként részletezve (1/9, 1/10, 1/11, 1/11a, 1/12, 1/17. melléklet) a felújítási kiadásokat célonként (1/15. melléklet) felhalmozási kiadásokat feladatonként (1/14, 1/14.a, 1/16. melléklet) az éves létszámot költségvetési szervenként (1/11, 1/11/a, 1/17. me</w:t>
      </w:r>
      <w:r>
        <w:t>lléklet) határozza meg.</w:t>
      </w:r>
    </w:p>
    <w:p w14:paraId="611C12AE" w14:textId="77777777" w:rsidR="00893FDB" w:rsidRDefault="00D10586">
      <w:pPr>
        <w:pStyle w:val="Szvegtrzs"/>
        <w:spacing w:before="220" w:after="0" w:line="240" w:lineRule="auto"/>
        <w:jc w:val="both"/>
      </w:pPr>
      <w:r>
        <w:t>(7) Nagykanizsa Megyei Jogú Város Önkormányzata</w:t>
      </w:r>
    </w:p>
    <w:p w14:paraId="0D0585E4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a) összevont költségvetési mérlegét és annak rendeleti mellékleteit a rendelet 1. melléklete;</w:t>
      </w:r>
    </w:p>
    <w:p w14:paraId="27EE25CA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 xml:space="preserve">b) előirányzat felhasználási - likviditási egyensúlyát a rendelet 2. </w:t>
      </w:r>
      <w:r>
        <w:t>melléklete;</w:t>
      </w:r>
    </w:p>
    <w:p w14:paraId="762C856E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c) adósságot keletkeztető ügyleteinek megkötését szükségessé tevő fejlesztési céljait a rendelet 3. melléklete;</w:t>
      </w:r>
    </w:p>
    <w:p w14:paraId="2507BF01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d) több éves kihatással járó feladatainak teljesülését, éves bontásban a rendelet 4. melléklete;</w:t>
      </w:r>
    </w:p>
    <w:p w14:paraId="35374E86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e) közvetett támogatásait a rendele</w:t>
      </w:r>
      <w:r>
        <w:t>t 5. melléklete;</w:t>
      </w:r>
    </w:p>
    <w:p w14:paraId="25CC3742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f) állami hozzájárulásának jogcímeit és összegeit a rendelet 6. melléklete;</w:t>
      </w:r>
    </w:p>
    <w:p w14:paraId="2670AAE1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g) szociálpolitikai, egészségügyi feladatainak kiadásait a rendelet 7. melléklete;</w:t>
      </w:r>
    </w:p>
    <w:p w14:paraId="4B5853A7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h) Európai Uniós projektjeit a rendelet 8. melléklete;</w:t>
      </w:r>
    </w:p>
    <w:p w14:paraId="168E0650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i) saját bevételeit a Mag</w:t>
      </w:r>
      <w:r>
        <w:t xml:space="preserve">yarország gazdasági stabilitásáról szóló 2011. évi CXCIV. törvény (a továbbiakban: </w:t>
      </w:r>
      <w:proofErr w:type="spellStart"/>
      <w:r>
        <w:t>Gst</w:t>
      </w:r>
      <w:proofErr w:type="spellEnd"/>
      <w:r>
        <w:t>.) 45. § (1) bekezdése szerint a rendelet 9. melléklete;</w:t>
      </w:r>
    </w:p>
    <w:p w14:paraId="6194D9F7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j) hitel- és kötvény állományát hitelezők, lejárat és eszközök szerinti bontásban a rendelet 10. melléklete;</w:t>
      </w:r>
    </w:p>
    <w:p w14:paraId="267ACDB2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k) a</w:t>
      </w:r>
      <w:r>
        <w:t xml:space="preserve"> </w:t>
      </w:r>
      <w:proofErr w:type="spellStart"/>
      <w:r>
        <w:t>Gst</w:t>
      </w:r>
      <w:proofErr w:type="spellEnd"/>
      <w:r>
        <w:t>. 10. § (1) bekezdése szerinti kezességekből fennálló kötelezettségekre vonatkozó kimutatás a rendelet 11. melléklete;</w:t>
      </w:r>
    </w:p>
    <w:p w14:paraId="5031EDE5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l) vagyonkimutatását a rendelet 12. melléklete;</w:t>
      </w:r>
    </w:p>
    <w:p w14:paraId="268047EE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 xml:space="preserve">m) tulajdonában álló gazdálkodó szervezetek működéséből származó </w:t>
      </w:r>
      <w:r>
        <w:t>kötelezettségeit, részesedéseinek alakulását a rendelet 13. melléklete;</w:t>
      </w:r>
    </w:p>
    <w:p w14:paraId="225431DB" w14:textId="77777777" w:rsidR="00893FDB" w:rsidRDefault="00D10586">
      <w:pPr>
        <w:pStyle w:val="Szvegtrzs"/>
        <w:spacing w:after="0" w:line="240" w:lineRule="auto"/>
        <w:ind w:left="220"/>
        <w:jc w:val="both"/>
      </w:pPr>
      <w:r>
        <w:t>n) és intézményei 2020. évi költségvetési és vállalkozási maradványát a rendelet 14. melléklete mutatja be és az abban foglaltakat a Közgyűlés a mellékletek szerint fogadja el.</w:t>
      </w:r>
    </w:p>
    <w:p w14:paraId="13096179" w14:textId="77777777" w:rsidR="00893FDB" w:rsidRDefault="00D10586">
      <w:pPr>
        <w:pStyle w:val="Szvegtrzs"/>
        <w:spacing w:before="220" w:after="0" w:line="240" w:lineRule="auto"/>
        <w:jc w:val="both"/>
      </w:pPr>
      <w:r>
        <w:t>(8) A K</w:t>
      </w:r>
      <w:r>
        <w:t>özgyűlés az Önkormányzat 2020. december 31-i állapot szerinti kötelezettségekkel csökkentett vagyonát a 12. mellékletben részletezett mérlegadatok alapján 77 863 745 e Ft-ban állapítja meg.</w:t>
      </w:r>
    </w:p>
    <w:p w14:paraId="69ED1A4C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Az Önkormányzat maradványa</w:t>
      </w:r>
    </w:p>
    <w:p w14:paraId="4816D06B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E46678C" w14:textId="77777777" w:rsidR="00893FDB" w:rsidRDefault="00D10586">
      <w:pPr>
        <w:pStyle w:val="Szvegtrzs"/>
        <w:spacing w:before="220" w:after="0" w:line="240" w:lineRule="auto"/>
        <w:jc w:val="both"/>
      </w:pPr>
      <w:r>
        <w:t xml:space="preserve">A Közgyűlés Nagykanizsa Megyei </w:t>
      </w:r>
      <w:r>
        <w:t>Jogú Város Önkormányzata és költségvetési szerveinek 2020. évi maradványát 9 351 137 e Ft-ban állapítja meg a 14. mellékletben foglaltaknak megfelelően.</w:t>
      </w:r>
    </w:p>
    <w:p w14:paraId="5DFF350F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Záró rendelkezések</w:t>
      </w:r>
    </w:p>
    <w:p w14:paraId="22A35A11" w14:textId="77777777" w:rsidR="00893FDB" w:rsidRDefault="00D1058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2E605E1" w14:textId="77777777" w:rsidR="00A50576" w:rsidRDefault="00D10586">
      <w:pPr>
        <w:pStyle w:val="Szvegtrzs"/>
        <w:spacing w:before="220" w:after="0" w:line="240" w:lineRule="auto"/>
        <w:jc w:val="both"/>
      </w:pPr>
      <w:r>
        <w:t>E rendelet a kihirdetését követő napon lép hatályba.</w:t>
      </w:r>
    </w:p>
    <w:p w14:paraId="4CC9BD33" w14:textId="77777777" w:rsidR="00A50576" w:rsidRPr="006D3F8A" w:rsidRDefault="00A50576" w:rsidP="00A50576">
      <w:pPr>
        <w:pStyle w:val="Szvegtrzs"/>
        <w:spacing w:before="220" w:after="0" w:line="240" w:lineRule="auto"/>
        <w:jc w:val="both"/>
        <w:rPr>
          <w:rFonts w:cs="Times New Roman"/>
        </w:rPr>
      </w:pPr>
    </w:p>
    <w:p w14:paraId="726C3839" w14:textId="1BED2E8E" w:rsidR="00A50576" w:rsidRPr="00A50576" w:rsidRDefault="00A50576" w:rsidP="00A50576">
      <w:pPr>
        <w:jc w:val="both"/>
        <w:rPr>
          <w:rFonts w:cs="Times New Roman"/>
        </w:rPr>
      </w:pPr>
      <w:r w:rsidRPr="00A50576">
        <w:rPr>
          <w:rFonts w:cs="Times New Roman"/>
        </w:rPr>
        <w:t>Nagykanizsa, 2021. május</w:t>
      </w:r>
      <w:r w:rsidRPr="00A50576">
        <w:rPr>
          <w:rFonts w:cs="Times New Roman"/>
        </w:rPr>
        <w:t xml:space="preserve"> 28.</w:t>
      </w:r>
    </w:p>
    <w:p w14:paraId="3CB5D5B9" w14:textId="77777777" w:rsidR="00A50576" w:rsidRPr="00A50576" w:rsidRDefault="00A50576" w:rsidP="00A50576">
      <w:pPr>
        <w:jc w:val="both"/>
        <w:rPr>
          <w:rFonts w:cs="Times New Roman"/>
        </w:rPr>
      </w:pPr>
    </w:p>
    <w:p w14:paraId="26D4ED28" w14:textId="77777777" w:rsidR="00A50576" w:rsidRPr="00A50576" w:rsidRDefault="00A50576" w:rsidP="00A50576">
      <w:pPr>
        <w:jc w:val="both"/>
        <w:rPr>
          <w:rFonts w:cs="Times New Roman"/>
        </w:rPr>
      </w:pPr>
    </w:p>
    <w:p w14:paraId="519ACDEE" w14:textId="77777777" w:rsidR="00A50576" w:rsidRPr="00A50576" w:rsidRDefault="00A50576" w:rsidP="00A50576">
      <w:pPr>
        <w:jc w:val="both"/>
        <w:rPr>
          <w:rFonts w:cs="Times New Roman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0576" w:rsidRPr="00A50576" w14:paraId="1BB26F15" w14:textId="77777777" w:rsidTr="00ED552D">
        <w:tc>
          <w:tcPr>
            <w:tcW w:w="4606" w:type="dxa"/>
          </w:tcPr>
          <w:p w14:paraId="3ADAF85B" w14:textId="77777777" w:rsidR="00A50576" w:rsidRPr="00A50576" w:rsidRDefault="00A50576" w:rsidP="00ED552D">
            <w:pPr>
              <w:pStyle w:val="Cmsor1"/>
              <w:numPr>
                <w:ilvl w:val="0"/>
                <w:numId w:val="2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57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50576">
              <w:rPr>
                <w:rFonts w:ascii="Times New Roman" w:hAnsi="Times New Roman" w:cs="Times New Roman"/>
                <w:sz w:val="24"/>
                <w:szCs w:val="24"/>
              </w:rPr>
              <w:t>Gyergyák</w:t>
            </w:r>
            <w:proofErr w:type="spellEnd"/>
            <w:r w:rsidRPr="00A50576">
              <w:rPr>
                <w:rFonts w:ascii="Times New Roman" w:hAnsi="Times New Roman" w:cs="Times New Roman"/>
                <w:sz w:val="24"/>
                <w:szCs w:val="24"/>
              </w:rPr>
              <w:t xml:space="preserve"> Krisztina</w:t>
            </w:r>
          </w:p>
          <w:p w14:paraId="7D768D2D" w14:textId="77777777" w:rsidR="00A50576" w:rsidRPr="00A50576" w:rsidRDefault="00A50576" w:rsidP="00ED552D">
            <w:pPr>
              <w:jc w:val="center"/>
              <w:rPr>
                <w:rFonts w:cs="Times New Roman"/>
                <w:b/>
              </w:rPr>
            </w:pPr>
            <w:r w:rsidRPr="00A50576">
              <w:rPr>
                <w:rFonts w:cs="Times New Roman"/>
                <w:b/>
              </w:rPr>
              <w:t>jegyző</w:t>
            </w:r>
          </w:p>
        </w:tc>
        <w:tc>
          <w:tcPr>
            <w:tcW w:w="4606" w:type="dxa"/>
          </w:tcPr>
          <w:p w14:paraId="4812FA8C" w14:textId="77777777" w:rsidR="00A50576" w:rsidRPr="00A50576" w:rsidRDefault="00A50576" w:rsidP="00ED552D">
            <w:pPr>
              <w:snapToGrid w:val="0"/>
              <w:jc w:val="center"/>
              <w:rPr>
                <w:rFonts w:cs="Times New Roman"/>
                <w:b/>
              </w:rPr>
            </w:pPr>
            <w:r w:rsidRPr="00A50576">
              <w:rPr>
                <w:rFonts w:cs="Times New Roman"/>
                <w:b/>
              </w:rPr>
              <w:t>Balogh László</w:t>
            </w:r>
          </w:p>
          <w:p w14:paraId="1B22A8CD" w14:textId="77777777" w:rsidR="00A50576" w:rsidRPr="00A50576" w:rsidRDefault="00A50576" w:rsidP="00ED552D">
            <w:pPr>
              <w:jc w:val="center"/>
              <w:rPr>
                <w:rFonts w:cs="Times New Roman"/>
                <w:b/>
              </w:rPr>
            </w:pPr>
            <w:r w:rsidRPr="00A50576">
              <w:rPr>
                <w:rFonts w:cs="Times New Roman"/>
                <w:b/>
              </w:rPr>
              <w:t>polgármester</w:t>
            </w:r>
          </w:p>
        </w:tc>
      </w:tr>
      <w:tr w:rsidR="00A50576" w:rsidRPr="00A50576" w14:paraId="6A27FA2A" w14:textId="77777777" w:rsidTr="00ED552D">
        <w:tc>
          <w:tcPr>
            <w:tcW w:w="4606" w:type="dxa"/>
          </w:tcPr>
          <w:p w14:paraId="275C2B5B" w14:textId="77777777" w:rsidR="00A50576" w:rsidRPr="00A50576" w:rsidRDefault="00A50576" w:rsidP="00ED552D">
            <w:pPr>
              <w:pStyle w:val="Cmsor1"/>
              <w:numPr>
                <w:ilvl w:val="0"/>
                <w:numId w:val="2"/>
              </w:numPr>
              <w:tabs>
                <w:tab w:val="clear" w:pos="432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5F81AC7" w14:textId="77777777" w:rsidR="00A50576" w:rsidRPr="00A50576" w:rsidRDefault="00A50576" w:rsidP="00ED552D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14:paraId="1AB50E1A" w14:textId="77777777" w:rsidR="00A50576" w:rsidRPr="00A50576" w:rsidRDefault="00A50576" w:rsidP="00A50576">
      <w:pPr>
        <w:jc w:val="both"/>
        <w:rPr>
          <w:rFonts w:cs="Times New Roman"/>
        </w:rPr>
      </w:pPr>
    </w:p>
    <w:p w14:paraId="2EEAC40D" w14:textId="77777777" w:rsidR="00A50576" w:rsidRPr="00A50576" w:rsidRDefault="00A50576" w:rsidP="00A50576">
      <w:pPr>
        <w:rPr>
          <w:rFonts w:cs="Times New Roman"/>
        </w:rPr>
      </w:pPr>
    </w:p>
    <w:p w14:paraId="7F7000EF" w14:textId="6569FDA1" w:rsidR="00A50576" w:rsidRPr="00A50576" w:rsidRDefault="00A50576" w:rsidP="00A50576">
      <w:pPr>
        <w:pStyle w:val="Szvegtrzs3"/>
        <w:rPr>
          <w:rFonts w:cs="Times New Roman"/>
          <w:sz w:val="24"/>
          <w:szCs w:val="24"/>
        </w:rPr>
      </w:pPr>
      <w:r w:rsidRPr="00A50576">
        <w:rPr>
          <w:rFonts w:cs="Times New Roman"/>
          <w:sz w:val="24"/>
          <w:szCs w:val="24"/>
        </w:rPr>
        <w:t>Kihirdetés napja: 2021. május</w:t>
      </w:r>
      <w:r w:rsidRPr="00A50576">
        <w:rPr>
          <w:rFonts w:cs="Times New Roman"/>
          <w:sz w:val="24"/>
          <w:szCs w:val="24"/>
        </w:rPr>
        <w:t xml:space="preserve"> 28.</w:t>
      </w:r>
    </w:p>
    <w:p w14:paraId="06E0C557" w14:textId="77777777" w:rsidR="00A50576" w:rsidRPr="00A50576" w:rsidRDefault="00A50576" w:rsidP="00A50576">
      <w:pPr>
        <w:pStyle w:val="Szvegtrzs3"/>
        <w:rPr>
          <w:rFonts w:cs="Times New Roman"/>
          <w:sz w:val="24"/>
          <w:szCs w:val="24"/>
        </w:rPr>
      </w:pPr>
    </w:p>
    <w:p w14:paraId="77FF5F76" w14:textId="77777777" w:rsidR="00A50576" w:rsidRPr="00A50576" w:rsidRDefault="00A50576" w:rsidP="00A50576">
      <w:pPr>
        <w:jc w:val="both"/>
        <w:rPr>
          <w:rFonts w:cs="Times New Roman"/>
          <w:b/>
        </w:rPr>
      </w:pP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  <w:t xml:space="preserve">        Dr. </w:t>
      </w:r>
      <w:proofErr w:type="spellStart"/>
      <w:r w:rsidRPr="00A50576">
        <w:rPr>
          <w:rFonts w:cs="Times New Roman"/>
          <w:b/>
        </w:rPr>
        <w:t>Gyergyák</w:t>
      </w:r>
      <w:proofErr w:type="spellEnd"/>
      <w:r w:rsidRPr="00A50576">
        <w:rPr>
          <w:rFonts w:cs="Times New Roman"/>
          <w:b/>
        </w:rPr>
        <w:t xml:space="preserve"> Krisztina</w:t>
      </w:r>
    </w:p>
    <w:p w14:paraId="1AFE2F4D" w14:textId="77777777" w:rsidR="00A50576" w:rsidRPr="006D3F8A" w:rsidRDefault="00A50576" w:rsidP="00A50576">
      <w:pPr>
        <w:jc w:val="both"/>
        <w:rPr>
          <w:rFonts w:cs="Times New Roman"/>
        </w:rPr>
      </w:pP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</w:r>
      <w:r w:rsidRPr="00A50576">
        <w:rPr>
          <w:rFonts w:cs="Times New Roman"/>
          <w:b/>
        </w:rPr>
        <w:tab/>
        <w:t xml:space="preserve">            jegyző</w:t>
      </w:r>
    </w:p>
    <w:sectPr w:rsidR="00A50576" w:rsidRPr="006D3F8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A2AC" w14:textId="77777777" w:rsidR="00D10586" w:rsidRDefault="00D10586">
      <w:r>
        <w:separator/>
      </w:r>
    </w:p>
  </w:endnote>
  <w:endnote w:type="continuationSeparator" w:id="0">
    <w:p w14:paraId="5E801889" w14:textId="77777777" w:rsidR="00D10586" w:rsidRDefault="00D1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FEE5" w14:textId="77777777" w:rsidR="00893FDB" w:rsidRDefault="00D1058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6C75" w14:textId="77777777" w:rsidR="00D10586" w:rsidRDefault="00D10586">
      <w:r>
        <w:separator/>
      </w:r>
    </w:p>
  </w:footnote>
  <w:footnote w:type="continuationSeparator" w:id="0">
    <w:p w14:paraId="4C719C76" w14:textId="77777777" w:rsidR="00D10586" w:rsidRDefault="00D1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44602D"/>
    <w:multiLevelType w:val="multilevel"/>
    <w:tmpl w:val="E2C435B8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DB"/>
    <w:rsid w:val="00893FDB"/>
    <w:rsid w:val="00A50576"/>
    <w:rsid w:val="00D10586"/>
    <w:rsid w:val="00F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4328"/>
  <w15:docId w15:val="{6699FED7-3E86-4F51-A15B-CEB8CE69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50576"/>
    <w:pPr>
      <w:spacing w:after="120"/>
    </w:pPr>
    <w:rPr>
      <w:rFonts w:cs="Mangal"/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50576"/>
    <w:rPr>
      <w:rFonts w:ascii="Times New Roman" w:hAnsi="Times New Roman" w:cs="Mangal"/>
      <w:sz w:val="16"/>
      <w:szCs w:val="1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5672</Characters>
  <Application>Microsoft Office Word</Application>
  <DocSecurity>0</DocSecurity>
  <Lines>47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Petrényi Anett</dc:creator>
  <dc:description/>
  <cp:lastModifiedBy>Petrényi Anett</cp:lastModifiedBy>
  <cp:revision>3</cp:revision>
  <dcterms:created xsi:type="dcterms:W3CDTF">2021-05-31T11:08:00Z</dcterms:created>
  <dcterms:modified xsi:type="dcterms:W3CDTF">2021-05-31T11:09:00Z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