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CA27" w14:textId="77777777" w:rsidR="00BE1171" w:rsidRDefault="00A440BA" w:rsidP="00BE1171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Nagykanizsa Megyei Jogú Város Önkormányzata Közgyűlésének </w:t>
      </w:r>
    </w:p>
    <w:p w14:paraId="239591CE" w14:textId="103E6693" w:rsidR="00F30315" w:rsidRDefault="00A440BA" w:rsidP="00BE1171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9/2026. (V. 18.) önkormányzati rendelete</w:t>
      </w:r>
    </w:p>
    <w:p w14:paraId="3C075950" w14:textId="77777777" w:rsidR="00F30315" w:rsidRDefault="00A440BA" w:rsidP="00BE1171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Nagykanizsa Megyei Jogú Város Önkormányzata 2025. évi költségvetési zárszámadásáról</w:t>
      </w:r>
    </w:p>
    <w:p w14:paraId="10856AAE" w14:textId="77777777" w:rsidR="00BE1171" w:rsidRDefault="00BE1171" w:rsidP="00BE1171">
      <w:pPr>
        <w:pStyle w:val="Szvegtrzs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0FA24DD" w14:textId="77777777" w:rsidR="00F30315" w:rsidRDefault="00A440BA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[1] E rendelet célja Nagykanizsa Megyei Jogú Város </w:t>
      </w:r>
      <w:r>
        <w:rPr>
          <w:rFonts w:ascii="Times New Roman" w:hAnsi="Times New Roman"/>
        </w:rPr>
        <w:t>Önkormányzata 2025. évi költségvetési gazdálkodásáról szóló beszámoló elfogadása, amelynek keretében a 2025. december 31-i állapot szerinti módosított előirányzatok alapján Nagykanizsa Megyei Jogú Város Önkormányzatának Közgyűlése dönt a pénzügyi teljesítések számszaki adatainak elfogadásáról és megállapítja a 2025. évi költségvetési maradvány összegét.</w:t>
      </w:r>
    </w:p>
    <w:p w14:paraId="1764DAC0" w14:textId="695A4371" w:rsidR="00F30315" w:rsidRDefault="00A440BA">
      <w:pPr>
        <w:pStyle w:val="Szvegtrzs"/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[2] Nagykanizsa Megyei Jogú Város Önkormányzatának Közgyűlése az Alaptörvény 32. cikk </w:t>
      </w:r>
      <w:r w:rsidR="00BE1171">
        <w:rPr>
          <w:rFonts w:ascii="Times New Roman" w:hAnsi="Times New Roman"/>
        </w:rPr>
        <w:br/>
      </w:r>
      <w:r>
        <w:rPr>
          <w:rFonts w:ascii="Times New Roman" w:hAnsi="Times New Roman"/>
        </w:rPr>
        <w:t>(2) bekezdésében meghatározott eredeti jogalkotói hatáskörében, az Alaptörvény 32. cikk (1) bekezdés f) pontjában meghatározott feladatkörében eljárva, az államháztartásról szóló 2011. évi CXCV. törvény 91. § (1) bekezdésében kapott felhatalmazás alapján a 2025. évi költségvetési zárszámadásról a következőket rendeli el:</w:t>
      </w:r>
    </w:p>
    <w:p w14:paraId="1328AE87" w14:textId="77777777" w:rsidR="00F30315" w:rsidRDefault="00A440BA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A rendelet hatálya</w:t>
      </w:r>
    </w:p>
    <w:p w14:paraId="1ABC278E" w14:textId="77777777" w:rsidR="00F30315" w:rsidRDefault="00A440BA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§</w:t>
      </w:r>
    </w:p>
    <w:p w14:paraId="3F463EC0" w14:textId="77777777" w:rsidR="00F30315" w:rsidRDefault="00A440BA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rendelet hatálya kiterjed Nagykanizsa Megyei Jogú Város Közgyűlésére, annak szerveire és bizottságaira, Nagykanizsa Megyei Jogú Város Önkormányzatára és költségvetési szerveire (a továbbiakban: Önkormányzat). A rendelet alkalmazásakor önkormányzati költségvetési szerv Nagykanizsa Megyei Jogú Város Önkormányzata valamennyi intézménye, beleértve Nagykanizsa Megyei Jogú Város Polgármesteri Hivatalát.</w:t>
      </w:r>
    </w:p>
    <w:p w14:paraId="04E22AE0" w14:textId="77777777" w:rsidR="00F30315" w:rsidRDefault="00A440BA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Az Önkormányzat bevételei és kiadásai</w:t>
      </w:r>
    </w:p>
    <w:p w14:paraId="73938A5F" w14:textId="77777777" w:rsidR="00F30315" w:rsidRDefault="00A440BA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§</w:t>
      </w:r>
    </w:p>
    <w:p w14:paraId="7E3044C9" w14:textId="77777777" w:rsidR="00F30315" w:rsidRDefault="00A440BA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Nagykanizsa Megyei Jogú Város Közgyűlése (a továbbiakban: Közgyűlés) a 2025. évi költségvetésének végrehajtásáról szóló zárszámadást az előterjesztésben és mellékleteiben foglaltaknak megfelelően jóváhagyja.</w:t>
      </w:r>
    </w:p>
    <w:p w14:paraId="1CCBD0FA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A Közgyűlés a költségvetési beszámoló </w:t>
      </w:r>
      <w:r>
        <w:rPr>
          <w:rFonts w:ascii="Times New Roman" w:hAnsi="Times New Roman"/>
          <w:b/>
          <w:bCs/>
        </w:rPr>
        <w:t>bevételi főösszegét 16 920 419 e Ft-ban, kiadási főösszegét 16 043 959 e Ft-ban</w:t>
      </w:r>
      <w:r>
        <w:rPr>
          <w:rFonts w:ascii="Times New Roman" w:hAnsi="Times New Roman"/>
        </w:rPr>
        <w:t xml:space="preserve"> állapítja meg.</w:t>
      </w:r>
    </w:p>
    <w:p w14:paraId="521CC755" w14:textId="46DA22A9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A Közgyűlés a költségvetési beszámoló költségvetési bevételeinek összegét 12 632 473 e Ft összegben állapítja meg, melyből </w:t>
      </w:r>
      <w:r>
        <w:rPr>
          <w:rFonts w:ascii="Times New Roman" w:hAnsi="Times New Roman"/>
          <w:b/>
          <w:bCs/>
        </w:rPr>
        <w:t xml:space="preserve">működési bevétel 12 344 602 e Ft, felhalmozási bevétel </w:t>
      </w:r>
      <w:r w:rsidR="00BE1171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>287 871 e Ft.</w:t>
      </w:r>
    </w:p>
    <w:p w14:paraId="3517F0C8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Működési bevételen belül:</w:t>
      </w:r>
    </w:p>
    <w:p w14:paraId="727CE785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aa)</w:t>
      </w:r>
      <w:r>
        <w:rPr>
          <w:rFonts w:ascii="Times New Roman" w:hAnsi="Times New Roman"/>
        </w:rPr>
        <w:tab/>
        <w:t>működési célú támogatások 5 337 473 e Ft</w:t>
      </w:r>
    </w:p>
    <w:p w14:paraId="3CCAC25E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ab)</w:t>
      </w:r>
      <w:r>
        <w:rPr>
          <w:rFonts w:ascii="Times New Roman" w:hAnsi="Times New Roman"/>
        </w:rPr>
        <w:tab/>
        <w:t>közhatalmi bevételek 5 230 418 e Ft</w:t>
      </w:r>
    </w:p>
    <w:p w14:paraId="498F5D19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ac)</w:t>
      </w:r>
      <w:r>
        <w:rPr>
          <w:rFonts w:ascii="Times New Roman" w:hAnsi="Times New Roman"/>
        </w:rPr>
        <w:tab/>
        <w:t>működési bevételek 1 741 905 e Ft</w:t>
      </w:r>
    </w:p>
    <w:p w14:paraId="1BF376D4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ad)</w:t>
      </w:r>
      <w:r>
        <w:rPr>
          <w:rFonts w:ascii="Times New Roman" w:hAnsi="Times New Roman"/>
        </w:rPr>
        <w:tab/>
        <w:t>működési célú átvett pénzeszközök 34 806 e Ft.</w:t>
      </w:r>
    </w:p>
    <w:p w14:paraId="66226853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Felhalmozási bevételeken belül:</w:t>
      </w:r>
    </w:p>
    <w:p w14:paraId="510912AA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felhalmozási célú támogatások 83 557 e Ft</w:t>
      </w:r>
    </w:p>
    <w:p w14:paraId="0E5B11BA" w14:textId="77777777" w:rsidR="00BE1171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bb)</w:t>
      </w:r>
      <w:r>
        <w:rPr>
          <w:rFonts w:ascii="Times New Roman" w:hAnsi="Times New Roman"/>
        </w:rPr>
        <w:tab/>
        <w:t xml:space="preserve">felhalmozási bevételek (tárgyi eszköz értékesítés, pénzügyi befektetések bevételei) </w:t>
      </w:r>
    </w:p>
    <w:p w14:paraId="641DEDC8" w14:textId="36FC7681" w:rsidR="00F30315" w:rsidRDefault="00A440BA" w:rsidP="00BE1171">
      <w:pPr>
        <w:pStyle w:val="Szvegtrzs"/>
        <w:spacing w:after="0" w:line="240" w:lineRule="auto"/>
        <w:ind w:left="980" w:hanging="4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202 291 e Ft</w:t>
      </w:r>
    </w:p>
    <w:p w14:paraId="6B37EC51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bc)</w:t>
      </w:r>
      <w:r>
        <w:rPr>
          <w:rFonts w:ascii="Times New Roman" w:hAnsi="Times New Roman"/>
        </w:rPr>
        <w:tab/>
        <w:t>felhalmozási célú átvett pénzeszközök 2 023 e Ft.</w:t>
      </w:r>
    </w:p>
    <w:p w14:paraId="5B71D762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(4) A Közgyűlés az Önkormányzat 2025. évi költségvetési beszámoló költségvetési kiadásainak összegét 13 907 994 e Ft-ban állapítja meg, melyből </w:t>
      </w:r>
      <w:r>
        <w:rPr>
          <w:rFonts w:ascii="Times New Roman" w:hAnsi="Times New Roman"/>
          <w:b/>
          <w:bCs/>
        </w:rPr>
        <w:t>működési kiadás 13 264 648 e Ft, felhalmozási kiadás 643 346 e Ft.</w:t>
      </w:r>
    </w:p>
    <w:p w14:paraId="3960C376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Működési kiadáson belül:</w:t>
      </w:r>
    </w:p>
    <w:p w14:paraId="50375F2E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aa)</w:t>
      </w:r>
      <w:r>
        <w:rPr>
          <w:rFonts w:ascii="Times New Roman" w:hAnsi="Times New Roman"/>
        </w:rPr>
        <w:tab/>
        <w:t>költségvetési létszámkeret 390,75 fő</w:t>
      </w:r>
    </w:p>
    <w:p w14:paraId="774B5554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ab)</w:t>
      </w:r>
      <w:r>
        <w:rPr>
          <w:rFonts w:ascii="Times New Roman" w:hAnsi="Times New Roman"/>
        </w:rPr>
        <w:tab/>
        <w:t xml:space="preserve">személyi juttatások 3 195 </w:t>
      </w:r>
      <w:r>
        <w:rPr>
          <w:rFonts w:ascii="Times New Roman" w:hAnsi="Times New Roman"/>
        </w:rPr>
        <w:t>660 e Ft</w:t>
      </w:r>
    </w:p>
    <w:p w14:paraId="20156DC1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ac)</w:t>
      </w:r>
      <w:r>
        <w:rPr>
          <w:rFonts w:ascii="Times New Roman" w:hAnsi="Times New Roman"/>
        </w:rPr>
        <w:tab/>
        <w:t>munkaadókat terhelő járulékok és szociális hozzájárulási adó 410 888 e Ft</w:t>
      </w:r>
    </w:p>
    <w:p w14:paraId="712050DD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ad)</w:t>
      </w:r>
      <w:r>
        <w:rPr>
          <w:rFonts w:ascii="Times New Roman" w:hAnsi="Times New Roman"/>
        </w:rPr>
        <w:tab/>
        <w:t>dologi kiadások 4 766 777 e Ft</w:t>
      </w:r>
    </w:p>
    <w:p w14:paraId="7FCB209F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ae)</w:t>
      </w:r>
      <w:r>
        <w:rPr>
          <w:rFonts w:ascii="Times New Roman" w:hAnsi="Times New Roman"/>
        </w:rPr>
        <w:tab/>
        <w:t>ellátottak pénzbeli juttatásai 64 124 e Ft</w:t>
      </w:r>
    </w:p>
    <w:p w14:paraId="2EAF7B29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af)</w:t>
      </w:r>
      <w:r>
        <w:rPr>
          <w:rFonts w:ascii="Times New Roman" w:hAnsi="Times New Roman"/>
        </w:rPr>
        <w:tab/>
        <w:t>működési célú pénzeszköz átadások és kiegészítések 4 827 199 e Ft.</w:t>
      </w:r>
    </w:p>
    <w:p w14:paraId="1D149010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Felhalmozási kiadáson belül:</w:t>
      </w:r>
    </w:p>
    <w:p w14:paraId="38E78A2F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ba)</w:t>
      </w:r>
      <w:r>
        <w:rPr>
          <w:rFonts w:ascii="Times New Roman" w:hAnsi="Times New Roman"/>
        </w:rPr>
        <w:tab/>
        <w:t>beruházások 394 998 e Ft</w:t>
      </w:r>
    </w:p>
    <w:p w14:paraId="25ACF4C8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bb)</w:t>
      </w:r>
      <w:r>
        <w:rPr>
          <w:rFonts w:ascii="Times New Roman" w:hAnsi="Times New Roman"/>
        </w:rPr>
        <w:tab/>
        <w:t>felújítások 188 266 e Ft</w:t>
      </w:r>
    </w:p>
    <w:p w14:paraId="77376FF9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bc)</w:t>
      </w:r>
      <w:r>
        <w:rPr>
          <w:rFonts w:ascii="Times New Roman" w:hAnsi="Times New Roman"/>
        </w:rPr>
        <w:tab/>
        <w:t>felhalmozási célú pénzeszköz átadások és kiegészítések 60 082 e Ft.</w:t>
      </w:r>
    </w:p>
    <w:p w14:paraId="24CFA310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A Közgyűlés az Önkormányzat költségvetési egyenlegét -1 275 521 e Ft-ban állapítja meg, melyből működési hiány 920 046 e Ft, felhalmozási hiány 355 475 e Ft.</w:t>
      </w:r>
    </w:p>
    <w:p w14:paraId="4CAF5D2D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A Közgyűlés az Önkormányzat </w:t>
      </w:r>
      <w:r>
        <w:rPr>
          <w:rFonts w:ascii="Times New Roman" w:hAnsi="Times New Roman"/>
          <w:b/>
          <w:bCs/>
        </w:rPr>
        <w:t>finanszírozási egyenlegét 2 151 981 e Ft-ban</w:t>
      </w:r>
      <w:r>
        <w:rPr>
          <w:rFonts w:ascii="Times New Roman" w:hAnsi="Times New Roman"/>
        </w:rPr>
        <w:t xml:space="preserve"> állapítja meg melyből</w:t>
      </w:r>
    </w:p>
    <w:p w14:paraId="7E96624F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finanszírozási bevételek összege 4 287 946 e Ft</w:t>
      </w:r>
      <w:r>
        <w:rPr>
          <w:rFonts w:ascii="Times New Roman" w:hAnsi="Times New Roman"/>
        </w:rPr>
        <w:t>, ezen belül</w:t>
      </w:r>
    </w:p>
    <w:p w14:paraId="6A465E2B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aa)</w:t>
      </w:r>
      <w:r>
        <w:rPr>
          <w:rFonts w:ascii="Times New Roman" w:hAnsi="Times New Roman"/>
        </w:rPr>
        <w:tab/>
        <w:t xml:space="preserve">az önkormányzat maradványát 3 554 </w:t>
      </w:r>
      <w:r>
        <w:rPr>
          <w:rFonts w:ascii="Times New Roman" w:hAnsi="Times New Roman"/>
        </w:rPr>
        <w:t>297 e Ft-ban állapítja meg, melyből működési célú maradvány 2 314 053 e Ft, fejlesztési célú maradvány 1 240 244 e Ft,</w:t>
      </w:r>
    </w:p>
    <w:p w14:paraId="28977FFF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ab)</w:t>
      </w:r>
      <w:r>
        <w:rPr>
          <w:rFonts w:ascii="Times New Roman" w:hAnsi="Times New Roman"/>
        </w:rPr>
        <w:tab/>
        <w:t>államháztartáson belüli megelőlegezések 233 649 e Ft,</w:t>
      </w:r>
    </w:p>
    <w:p w14:paraId="57163473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ac)</w:t>
      </w:r>
      <w:r>
        <w:rPr>
          <w:rFonts w:ascii="Times New Roman" w:hAnsi="Times New Roman"/>
        </w:rPr>
        <w:tab/>
        <w:t>hitelfelvétel 0 e Ft,</w:t>
      </w:r>
    </w:p>
    <w:p w14:paraId="09E6FF51" w14:textId="77777777" w:rsidR="00F30315" w:rsidRDefault="00A440BA">
      <w:pPr>
        <w:pStyle w:val="Szvegtrzs"/>
        <w:spacing w:after="0" w:line="240" w:lineRule="auto"/>
        <w:ind w:left="980" w:hanging="40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ad)</w:t>
      </w:r>
      <w:r>
        <w:rPr>
          <w:rFonts w:ascii="Times New Roman" w:hAnsi="Times New Roman"/>
        </w:rPr>
        <w:tab/>
        <w:t>belföldi értékpapírok (értékpapírok beváltása) 500 000 e Ft,</w:t>
      </w:r>
    </w:p>
    <w:p w14:paraId="7DDD6A3D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finanszírozási kiadások összege 2 135 965 e Ft</w:t>
      </w:r>
      <w:r>
        <w:rPr>
          <w:rFonts w:ascii="Times New Roman" w:hAnsi="Times New Roman"/>
        </w:rPr>
        <w:t>, amelyből 144 883 e Ft-ot a 2025. évi önkormányzati feladatokra kapott előleg, 58 212 e Ft-ot a TB és CST ellátások megelőlegezésének visszafizetésére használt fel. A 2025. évi hitel törlesztés összege 0 e Ft, belföldi értékpapírok vásárlása 1 932 870 e Ft.</w:t>
      </w:r>
    </w:p>
    <w:p w14:paraId="32419F9F" w14:textId="2FEC38D8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A Közgyűlés a zárszámadás bevételi és kiadási főösszegeit az (1/1. melléklet), a költségvetési szervek bevételeit forrásonként (1/2, 1/3, 1/4, 1/5, 1/6, 1/6/a, 1/7, 1/8. melléklet) a működési és fenntartási kiadásokat költségvetési szervenként, intézményen belül kiemelt előirányzatonként részletezve (1/9, 1/10, 1/11, 1/11a, 1/12, 1/13, 1/17. melléklet) a felújítási kiadásokat célonként </w:t>
      </w:r>
      <w:r w:rsidR="00BE1171">
        <w:rPr>
          <w:rFonts w:ascii="Times New Roman" w:hAnsi="Times New Roman"/>
        </w:rPr>
        <w:br/>
      </w:r>
      <w:r>
        <w:rPr>
          <w:rFonts w:ascii="Times New Roman" w:hAnsi="Times New Roman"/>
        </w:rPr>
        <w:t>(1/15. melléklet) felhalmozási kiadásokat feladatonként (1/14, 1/14.a, 1/16. melléklet) az éves létszámot költségvetési szervenként (1/11, 1/11/a, 1/17. melléklet) határozza meg.</w:t>
      </w:r>
    </w:p>
    <w:p w14:paraId="1A955B2D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Nagykanizsa Megyei Jogú Város Önkormányzata</w:t>
      </w:r>
    </w:p>
    <w:p w14:paraId="6ED77A9A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a)</w:t>
      </w:r>
      <w:r>
        <w:rPr>
          <w:rFonts w:ascii="Times New Roman" w:hAnsi="Times New Roman"/>
        </w:rPr>
        <w:tab/>
        <w:t>összevont költségvetési mérlegét és annak mellékleteit az 1. melléklet;</w:t>
      </w:r>
    </w:p>
    <w:p w14:paraId="5B875B0F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b)</w:t>
      </w:r>
      <w:r>
        <w:rPr>
          <w:rFonts w:ascii="Times New Roman" w:hAnsi="Times New Roman"/>
        </w:rPr>
        <w:tab/>
        <w:t>előirányzat felhasználási - likviditási egyensúlyát a 2. melléklet;</w:t>
      </w:r>
    </w:p>
    <w:p w14:paraId="72BD24B0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c)</w:t>
      </w:r>
      <w:r>
        <w:rPr>
          <w:rFonts w:ascii="Times New Roman" w:hAnsi="Times New Roman"/>
        </w:rPr>
        <w:tab/>
        <w:t>adósságot keletkeztető ügyleteinek megkötését szükségessé tevő fejlesztési céljait a 3. melléklet;</w:t>
      </w:r>
    </w:p>
    <w:p w14:paraId="5D3576C3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d)</w:t>
      </w:r>
      <w:r>
        <w:rPr>
          <w:rFonts w:ascii="Times New Roman" w:hAnsi="Times New Roman"/>
        </w:rPr>
        <w:tab/>
        <w:t>több éves kihatással járó feladatainak teljesülését éves bontásban a 4. melléklet;</w:t>
      </w:r>
    </w:p>
    <w:p w14:paraId="6719F65F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e)</w:t>
      </w:r>
      <w:r>
        <w:rPr>
          <w:rFonts w:ascii="Times New Roman" w:hAnsi="Times New Roman"/>
        </w:rPr>
        <w:tab/>
        <w:t>közvetett támogatásait az 5. melléklet;</w:t>
      </w:r>
    </w:p>
    <w:p w14:paraId="6A0D8B0D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f)</w:t>
      </w:r>
      <w:r>
        <w:rPr>
          <w:rFonts w:ascii="Times New Roman" w:hAnsi="Times New Roman"/>
        </w:rPr>
        <w:tab/>
        <w:t>állami hozzájárulásának jogcímeit és összegeit a 6. melléklet;</w:t>
      </w:r>
    </w:p>
    <w:p w14:paraId="249C6B2F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g)</w:t>
      </w:r>
      <w:r>
        <w:rPr>
          <w:rFonts w:ascii="Times New Roman" w:hAnsi="Times New Roman"/>
        </w:rPr>
        <w:tab/>
        <w:t>szociálpolitikai, egészségügyi feladatainak kiadásait a 7. melléklet;</w:t>
      </w:r>
    </w:p>
    <w:p w14:paraId="1FC8AE69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h)</w:t>
      </w:r>
      <w:r>
        <w:rPr>
          <w:rFonts w:ascii="Times New Roman" w:hAnsi="Times New Roman"/>
        </w:rPr>
        <w:tab/>
        <w:t>Európai Uniós projektjeit a 8. melléklet;</w:t>
      </w:r>
    </w:p>
    <w:p w14:paraId="70D7BECB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i)</w:t>
      </w:r>
      <w:r>
        <w:rPr>
          <w:rFonts w:ascii="Times New Roman" w:hAnsi="Times New Roman"/>
        </w:rPr>
        <w:tab/>
        <w:t xml:space="preserve">saját bevételeit a </w:t>
      </w:r>
      <w:r>
        <w:rPr>
          <w:rFonts w:ascii="Times New Roman" w:hAnsi="Times New Roman"/>
        </w:rPr>
        <w:t>Magyarország gazdasági stabilitásáról szóló 2011. évi CXCIV. törvény (a továbbiakban: Gst.) 45. § (1) bekezdése szerint a 9. melléklet;</w:t>
      </w:r>
    </w:p>
    <w:p w14:paraId="1FBF6AFB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j)</w:t>
      </w:r>
      <w:r>
        <w:rPr>
          <w:rFonts w:ascii="Times New Roman" w:hAnsi="Times New Roman"/>
        </w:rPr>
        <w:tab/>
        <w:t>hitel- és kötvény állományát hitelezők, lejárat és eszközök szerinti bontásban a 10. melléklet;</w:t>
      </w:r>
    </w:p>
    <w:p w14:paraId="0D77F521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>k)</w:t>
      </w:r>
      <w:r>
        <w:rPr>
          <w:rFonts w:ascii="Times New Roman" w:hAnsi="Times New Roman"/>
        </w:rPr>
        <w:tab/>
        <w:t>a Gst. 10. § (1) bekezdése szerinti kezességekből fennálló kötelezettségekre vonatkozó kimutatás a 11. melléklet;</w:t>
      </w:r>
    </w:p>
    <w:p w14:paraId="4E03B393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l)</w:t>
      </w:r>
      <w:r>
        <w:rPr>
          <w:rFonts w:ascii="Times New Roman" w:hAnsi="Times New Roman"/>
        </w:rPr>
        <w:tab/>
        <w:t>vagyonkimutatását a 12. melléklet;</w:t>
      </w:r>
    </w:p>
    <w:p w14:paraId="7F0CFE44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m)</w:t>
      </w:r>
      <w:r>
        <w:rPr>
          <w:rFonts w:ascii="Times New Roman" w:hAnsi="Times New Roman"/>
        </w:rPr>
        <w:tab/>
        <w:t>tulajdonában álló gazdálkodó szervezetek működéséből származó kötelezettségeit, részesedéseinek alakulását a 13. melléklet;</w:t>
      </w:r>
    </w:p>
    <w:p w14:paraId="30837E2D" w14:textId="77777777" w:rsidR="00F30315" w:rsidRDefault="00A440B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n)</w:t>
      </w:r>
      <w:r>
        <w:rPr>
          <w:rFonts w:ascii="Times New Roman" w:hAnsi="Times New Roman"/>
        </w:rPr>
        <w:tab/>
        <w:t>és intézményei 2025. évi költségvetési maradványát a 14. melléklet mutatja be és az abban foglaltakat a Közgyűlés a mellékletek szerint fogadja el.</w:t>
      </w:r>
    </w:p>
    <w:p w14:paraId="3F8C4769" w14:textId="77777777" w:rsidR="00F30315" w:rsidRDefault="00A440BA">
      <w:pPr>
        <w:pStyle w:val="Szvegtrzs"/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(9) A Közgyűlés az Önkormányzat 2025. december 31-i állapot szerinti kötelezettségekkel csökkentett vagyonát a 12. mellékletben részletezett mérlegadatok alapján 75 036 906 e Ft-ban állapítja meg.</w:t>
      </w:r>
    </w:p>
    <w:p w14:paraId="039C506E" w14:textId="77777777" w:rsidR="00F30315" w:rsidRDefault="00A440BA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Az Önkormányzat maradványa</w:t>
      </w:r>
    </w:p>
    <w:p w14:paraId="1EC631CD" w14:textId="77777777" w:rsidR="00F30315" w:rsidRDefault="00A440BA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§</w:t>
      </w:r>
    </w:p>
    <w:p w14:paraId="347154E6" w14:textId="77777777" w:rsidR="00F30315" w:rsidRDefault="00A440BA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Közgyűlés Nagykanizsa Megyei Jogú Város Önkormányzata és költségvetési szerveinek 2025. évi maradványát 876 460 e </w:t>
      </w:r>
      <w:r>
        <w:rPr>
          <w:rFonts w:ascii="Times New Roman" w:hAnsi="Times New Roman"/>
        </w:rPr>
        <w:t>Ft-ban állapítja meg a 14. mellékletben foglaltaknak megfelelően.</w:t>
      </w:r>
    </w:p>
    <w:p w14:paraId="7AD2C3B5" w14:textId="77777777" w:rsidR="00F30315" w:rsidRDefault="00A440BA">
      <w:pPr>
        <w:pStyle w:val="Szvegtrzs"/>
        <w:spacing w:before="280"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Záró rendelkezések</w:t>
      </w:r>
    </w:p>
    <w:p w14:paraId="02AAF3E3" w14:textId="77777777" w:rsidR="00F30315" w:rsidRDefault="00A440BA">
      <w:pPr>
        <w:pStyle w:val="Szvegtrzs"/>
        <w:spacing w:before="240" w:after="24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§</w:t>
      </w:r>
    </w:p>
    <w:p w14:paraId="2E6C20E1" w14:textId="77777777" w:rsidR="00F30315" w:rsidRDefault="00A440BA">
      <w:pPr>
        <w:pStyle w:val="Szvegtrzs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Ez a rendelet a kihirdetését követő napon lép hatályba.</w:t>
      </w:r>
    </w:p>
    <w:p w14:paraId="075E7761" w14:textId="77777777" w:rsidR="00BE1171" w:rsidRDefault="00BE1171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4CFBD02C" w14:textId="77777777" w:rsidR="00BE1171" w:rsidRDefault="00BE1171">
      <w:pPr>
        <w:pStyle w:val="Szvegtrzs"/>
        <w:spacing w:after="0" w:line="240" w:lineRule="auto"/>
        <w:jc w:val="both"/>
        <w:rPr>
          <w:rFonts w:ascii="Times New Roman" w:hAnsi="Times New Roman"/>
        </w:rPr>
      </w:pPr>
    </w:p>
    <w:p w14:paraId="55E0A2FD" w14:textId="45D78B5F" w:rsidR="00BE1171" w:rsidRPr="00487E03" w:rsidRDefault="00BE1171" w:rsidP="00BE1171">
      <w:pPr>
        <w:jc w:val="both"/>
        <w:rPr>
          <w:rFonts w:cs="Times New Roman"/>
        </w:rPr>
      </w:pPr>
      <w:r w:rsidRPr="00487E03">
        <w:rPr>
          <w:rFonts w:cs="Times New Roman"/>
        </w:rPr>
        <w:t>Nagykanizsa, 202</w:t>
      </w:r>
      <w:r>
        <w:rPr>
          <w:rFonts w:cs="Times New Roman"/>
        </w:rPr>
        <w:t>6</w:t>
      </w:r>
      <w:r w:rsidRPr="00487E03">
        <w:rPr>
          <w:rFonts w:cs="Times New Roman"/>
        </w:rPr>
        <w:t xml:space="preserve">. </w:t>
      </w:r>
      <w:r>
        <w:rPr>
          <w:rFonts w:cs="Times New Roman"/>
        </w:rPr>
        <w:t>május 14.</w:t>
      </w:r>
    </w:p>
    <w:p w14:paraId="25D995E2" w14:textId="77777777" w:rsidR="00BE1171" w:rsidRPr="00487E03" w:rsidRDefault="00BE1171" w:rsidP="00BE1171">
      <w:pPr>
        <w:jc w:val="both"/>
        <w:rPr>
          <w:rFonts w:cs="Times New Roman"/>
        </w:rPr>
      </w:pPr>
    </w:p>
    <w:p w14:paraId="2757CE01" w14:textId="77777777" w:rsidR="00BE1171" w:rsidRPr="001D2BC4" w:rsidRDefault="00BE1171" w:rsidP="00BE1171">
      <w:pPr>
        <w:jc w:val="both"/>
        <w:rPr>
          <w:rFonts w:cs="Times New Roman"/>
        </w:rPr>
      </w:pPr>
    </w:p>
    <w:p w14:paraId="6E86BA1A" w14:textId="77777777" w:rsidR="00BE1171" w:rsidRPr="001D2BC4" w:rsidRDefault="00BE1171" w:rsidP="00BE1171">
      <w:pPr>
        <w:jc w:val="both"/>
        <w:rPr>
          <w:rFonts w:cs="Times New Roman"/>
        </w:rPr>
      </w:pPr>
    </w:p>
    <w:tbl>
      <w:tblPr>
        <w:tblW w:w="0" w:type="auto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1171" w:rsidRPr="001D2BC4" w14:paraId="765C813F" w14:textId="77777777" w:rsidTr="00F310A5">
        <w:tc>
          <w:tcPr>
            <w:tcW w:w="4606" w:type="dxa"/>
          </w:tcPr>
          <w:p w14:paraId="419E6B0F" w14:textId="77777777" w:rsidR="00BE1171" w:rsidRPr="001D2BC4" w:rsidRDefault="00BE1171" w:rsidP="00F310A5">
            <w:pPr>
              <w:pStyle w:val="Cmsor1"/>
              <w:numPr>
                <w:ilvl w:val="0"/>
                <w:numId w:val="2"/>
              </w:numPr>
              <w:tabs>
                <w:tab w:val="clear" w:pos="432"/>
                <w:tab w:val="num" w:pos="360"/>
                <w:tab w:val="num" w:pos="708"/>
              </w:tabs>
              <w:snapToGri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BC4">
              <w:rPr>
                <w:rFonts w:ascii="Times New Roman" w:hAnsi="Times New Roman" w:cs="Times New Roman"/>
                <w:sz w:val="24"/>
                <w:szCs w:val="24"/>
              </w:rPr>
              <w:t>Dr. Gyergyák Krisztina</w:t>
            </w:r>
          </w:p>
          <w:p w14:paraId="757E02C6" w14:textId="77777777" w:rsidR="00BE1171" w:rsidRPr="001D2BC4" w:rsidRDefault="00BE1171" w:rsidP="00F310A5">
            <w:pPr>
              <w:jc w:val="center"/>
              <w:rPr>
                <w:rFonts w:cs="Times New Roman"/>
                <w:b/>
              </w:rPr>
            </w:pPr>
            <w:r w:rsidRPr="001D2BC4">
              <w:rPr>
                <w:rFonts w:cs="Times New Roman"/>
                <w:b/>
              </w:rPr>
              <w:t>jegyző</w:t>
            </w:r>
          </w:p>
        </w:tc>
        <w:tc>
          <w:tcPr>
            <w:tcW w:w="4606" w:type="dxa"/>
          </w:tcPr>
          <w:p w14:paraId="7E3D6E72" w14:textId="77777777" w:rsidR="00BE1171" w:rsidRPr="001D2BC4" w:rsidRDefault="00BE1171" w:rsidP="00F310A5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Horváth Jácint</w:t>
            </w:r>
          </w:p>
          <w:p w14:paraId="15C309D2" w14:textId="77777777" w:rsidR="00BE1171" w:rsidRPr="001D2BC4" w:rsidRDefault="00BE1171" w:rsidP="00F310A5">
            <w:pPr>
              <w:jc w:val="center"/>
              <w:rPr>
                <w:rFonts w:cs="Times New Roman"/>
                <w:b/>
              </w:rPr>
            </w:pPr>
            <w:r w:rsidRPr="001D2BC4">
              <w:rPr>
                <w:rFonts w:cs="Times New Roman"/>
                <w:b/>
              </w:rPr>
              <w:t>polgármester</w:t>
            </w:r>
          </w:p>
        </w:tc>
      </w:tr>
      <w:tr w:rsidR="00BE1171" w:rsidRPr="001D2BC4" w14:paraId="553B3BC7" w14:textId="77777777" w:rsidTr="00F310A5">
        <w:tc>
          <w:tcPr>
            <w:tcW w:w="4606" w:type="dxa"/>
          </w:tcPr>
          <w:p w14:paraId="55D7446C" w14:textId="77777777" w:rsidR="00BE1171" w:rsidRPr="001D2BC4" w:rsidRDefault="00BE1171" w:rsidP="00F310A5">
            <w:pPr>
              <w:pStyle w:val="Cmsor1"/>
              <w:numPr>
                <w:ilvl w:val="0"/>
                <w:numId w:val="2"/>
              </w:numPr>
              <w:tabs>
                <w:tab w:val="clear" w:pos="432"/>
                <w:tab w:val="num" w:pos="360"/>
                <w:tab w:val="num" w:pos="708"/>
              </w:tabs>
              <w:snapToGri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68CADC" w14:textId="77777777" w:rsidR="00BE1171" w:rsidRPr="001D2BC4" w:rsidRDefault="00BE1171" w:rsidP="00F310A5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</w:tbl>
    <w:p w14:paraId="5C7123AC" w14:textId="77777777" w:rsidR="00BE1171" w:rsidRPr="001D2BC4" w:rsidRDefault="00BE1171" w:rsidP="00BE1171">
      <w:pPr>
        <w:jc w:val="both"/>
        <w:rPr>
          <w:rFonts w:cs="Times New Roman"/>
        </w:rPr>
      </w:pPr>
    </w:p>
    <w:p w14:paraId="7B726A47" w14:textId="77777777" w:rsidR="00BE1171" w:rsidRPr="001D2BC4" w:rsidRDefault="00BE1171" w:rsidP="00BE1171">
      <w:pPr>
        <w:rPr>
          <w:rFonts w:cs="Times New Roman"/>
        </w:rPr>
      </w:pPr>
    </w:p>
    <w:p w14:paraId="6F641C1A" w14:textId="7758DC4E" w:rsidR="00BE1171" w:rsidRDefault="00BE1171" w:rsidP="00BE1171">
      <w:pPr>
        <w:pStyle w:val="Szvegtrzs3"/>
        <w:spacing w:after="0"/>
        <w:rPr>
          <w:rFonts w:cs="Times New Roman"/>
          <w:sz w:val="24"/>
          <w:szCs w:val="24"/>
        </w:rPr>
      </w:pPr>
      <w:r w:rsidRPr="001D2BC4">
        <w:rPr>
          <w:rFonts w:cs="Times New Roman"/>
          <w:sz w:val="24"/>
          <w:szCs w:val="24"/>
        </w:rPr>
        <w:t>Kihirdetés napja: 202</w:t>
      </w:r>
      <w:r>
        <w:rPr>
          <w:rFonts w:cs="Times New Roman"/>
          <w:sz w:val="24"/>
          <w:szCs w:val="24"/>
        </w:rPr>
        <w:t>6</w:t>
      </w:r>
      <w:r w:rsidRPr="001D2BC4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május 18.</w:t>
      </w:r>
    </w:p>
    <w:p w14:paraId="11923EA3" w14:textId="77777777" w:rsidR="00BE1171" w:rsidRDefault="00BE1171" w:rsidP="00BE1171">
      <w:pPr>
        <w:pStyle w:val="Szvegtrzs3"/>
        <w:spacing w:after="0"/>
        <w:rPr>
          <w:rFonts w:cs="Times New Roman"/>
          <w:sz w:val="24"/>
          <w:szCs w:val="24"/>
        </w:rPr>
      </w:pPr>
    </w:p>
    <w:p w14:paraId="01A332F7" w14:textId="77777777" w:rsidR="00BE1171" w:rsidRPr="001D2BC4" w:rsidRDefault="00BE1171" w:rsidP="00BE1171">
      <w:pPr>
        <w:pStyle w:val="Szvegtrzs3"/>
        <w:spacing w:after="0"/>
        <w:rPr>
          <w:rFonts w:cs="Times New Roman"/>
          <w:sz w:val="24"/>
          <w:szCs w:val="24"/>
        </w:rPr>
      </w:pPr>
    </w:p>
    <w:p w14:paraId="6E970A74" w14:textId="77777777" w:rsidR="00BE1171" w:rsidRPr="001D2BC4" w:rsidRDefault="00BE1171" w:rsidP="00BE1171">
      <w:pPr>
        <w:pStyle w:val="Szvegtrzs3"/>
        <w:spacing w:after="0"/>
        <w:rPr>
          <w:rFonts w:cs="Times New Roman"/>
          <w:sz w:val="24"/>
          <w:szCs w:val="24"/>
        </w:rPr>
      </w:pPr>
    </w:p>
    <w:p w14:paraId="3378EB78" w14:textId="77777777" w:rsidR="00BE1171" w:rsidRPr="001D2BC4" w:rsidRDefault="00BE1171" w:rsidP="00BE1171">
      <w:pPr>
        <w:jc w:val="both"/>
        <w:rPr>
          <w:rFonts w:cs="Times New Roman"/>
          <w:b/>
        </w:rPr>
      </w:pP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  <w:t xml:space="preserve">        Dr. Gyergyák Krisztina</w:t>
      </w:r>
    </w:p>
    <w:p w14:paraId="37539D61" w14:textId="4131815B" w:rsidR="00F30315" w:rsidRDefault="00BE1171">
      <w:pPr>
        <w:jc w:val="both"/>
        <w:rPr>
          <w:rFonts w:ascii="Times New Roman" w:hAnsi="Times New Roman"/>
        </w:rPr>
      </w:pP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</w:r>
      <w:r w:rsidRPr="001D2BC4">
        <w:rPr>
          <w:rFonts w:cs="Times New Roman"/>
          <w:b/>
        </w:rPr>
        <w:tab/>
        <w:t xml:space="preserve">            jegyz</w:t>
      </w:r>
      <w:r w:rsidR="00A440BA">
        <w:rPr>
          <w:rFonts w:cs="Times New Roman"/>
          <w:b/>
        </w:rPr>
        <w:t>ő</w:t>
      </w:r>
      <w:r w:rsidR="00A440BA">
        <w:rPr>
          <w:rFonts w:ascii="Times New Roman" w:hAnsi="Times New Roman"/>
        </w:rPr>
        <w:t> </w:t>
      </w:r>
    </w:p>
    <w:sectPr w:rsidR="00F30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1FC6C" w14:textId="77777777" w:rsidR="00231832" w:rsidRDefault="00231832">
      <w:r>
        <w:separator/>
      </w:r>
    </w:p>
  </w:endnote>
  <w:endnote w:type="continuationSeparator" w:id="0">
    <w:p w14:paraId="06A2F90B" w14:textId="77777777" w:rsidR="00231832" w:rsidRDefault="0023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50B1" w14:textId="77777777" w:rsidR="00F30315" w:rsidRDefault="00A440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3C9F" w14:textId="77777777" w:rsidR="00F30315" w:rsidRDefault="00A440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AC74" w14:textId="77777777" w:rsidR="00F30315" w:rsidRDefault="00A440B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29D2" w14:textId="77777777" w:rsidR="00231832" w:rsidRDefault="00231832">
      <w:r>
        <w:separator/>
      </w:r>
    </w:p>
  </w:footnote>
  <w:footnote w:type="continuationSeparator" w:id="0">
    <w:p w14:paraId="31AD701B" w14:textId="77777777" w:rsidR="00231832" w:rsidRDefault="0023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2529" w14:textId="77777777" w:rsidR="00F30315" w:rsidRDefault="00F303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F5B3" w14:textId="77777777" w:rsidR="00F30315" w:rsidRDefault="00F3031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85AA" w14:textId="77777777" w:rsidR="00F30315" w:rsidRDefault="00F30315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E47BE3"/>
    <w:multiLevelType w:val="multilevel"/>
    <w:tmpl w:val="7C2C25E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6335935">
    <w:abstractNumId w:val="1"/>
  </w:num>
  <w:num w:numId="2" w16cid:durableId="112218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15"/>
    <w:rsid w:val="00231832"/>
    <w:rsid w:val="005354E1"/>
    <w:rsid w:val="00A440BA"/>
    <w:rsid w:val="00BE1171"/>
    <w:rsid w:val="00BF7DF3"/>
    <w:rsid w:val="00E27B6E"/>
    <w:rsid w:val="00F3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6142"/>
  <w15:docId w15:val="{FF65713D-B87B-4C45-A5C4-B5F06C53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E1171"/>
    <w:pPr>
      <w:spacing w:after="120"/>
    </w:pPr>
    <w:rPr>
      <w:rFonts w:ascii="Times New Roman" w:eastAsia="Noto Sans CJK SC Regular" w:hAnsi="Times New Roman" w:cs="Mangal"/>
      <w:sz w:val="16"/>
      <w:szCs w:val="14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E1171"/>
    <w:rPr>
      <w:rFonts w:ascii="Times New Roman" w:eastAsia="Noto Sans CJK SC Regular" w:hAnsi="Times New Roman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846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dr. Termecz Marianna</cp:lastModifiedBy>
  <cp:revision>70</cp:revision>
  <dcterms:created xsi:type="dcterms:W3CDTF">2025-12-08T10:01:00Z</dcterms:created>
  <dcterms:modified xsi:type="dcterms:W3CDTF">2026-05-27T07:44:00Z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