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AD67" w14:textId="77777777" w:rsidR="00E33FE1" w:rsidRDefault="00E7381E" w:rsidP="00E33FE1">
      <w:pPr>
        <w:pStyle w:val="Szvegtrzs"/>
        <w:jc w:val="center"/>
        <w:rPr>
          <w:rFonts w:ascii="Arial" w:hAnsi="Arial" w:cs="Arial"/>
          <w:b/>
          <w:bCs/>
          <w:sz w:val="22"/>
          <w:szCs w:val="22"/>
        </w:rPr>
      </w:pPr>
      <w:r w:rsidRPr="00F856E0">
        <w:rPr>
          <w:rFonts w:ascii="Arial" w:hAnsi="Arial" w:cs="Arial"/>
          <w:b/>
          <w:bCs/>
          <w:sz w:val="22"/>
          <w:szCs w:val="22"/>
        </w:rPr>
        <w:t>Nagykanizsa Megyei Jogú Város Önkormányzata Közgyűlésének</w:t>
      </w:r>
    </w:p>
    <w:p w14:paraId="7350B7A5" w14:textId="3EAEC788" w:rsidR="00E7381E" w:rsidRPr="00F856E0" w:rsidRDefault="00E7381E" w:rsidP="00E33FE1">
      <w:pPr>
        <w:pStyle w:val="Szvegtrzs"/>
        <w:jc w:val="center"/>
        <w:rPr>
          <w:rFonts w:ascii="Arial" w:hAnsi="Arial" w:cs="Arial"/>
          <w:b/>
          <w:bCs/>
          <w:sz w:val="22"/>
          <w:szCs w:val="22"/>
        </w:rPr>
      </w:pPr>
      <w:r>
        <w:rPr>
          <w:rFonts w:ascii="Arial" w:hAnsi="Arial" w:cs="Arial"/>
          <w:b/>
          <w:bCs/>
          <w:sz w:val="22"/>
          <w:szCs w:val="22"/>
          <w:lang w:val="hu-HU"/>
        </w:rPr>
        <w:t>32</w:t>
      </w:r>
      <w:r w:rsidRPr="00F856E0">
        <w:rPr>
          <w:rFonts w:ascii="Arial" w:hAnsi="Arial" w:cs="Arial"/>
          <w:b/>
          <w:bCs/>
          <w:sz w:val="22"/>
          <w:szCs w:val="22"/>
        </w:rPr>
        <w:t>/</w:t>
      </w:r>
      <w:r>
        <w:rPr>
          <w:rFonts w:ascii="Arial" w:hAnsi="Arial" w:cs="Arial"/>
          <w:b/>
          <w:bCs/>
          <w:sz w:val="22"/>
          <w:szCs w:val="22"/>
          <w:lang w:val="hu-HU"/>
        </w:rPr>
        <w:t>2023.</w:t>
      </w:r>
      <w:r w:rsidRPr="00F856E0">
        <w:rPr>
          <w:rFonts w:ascii="Arial" w:hAnsi="Arial" w:cs="Arial"/>
          <w:b/>
          <w:bCs/>
          <w:sz w:val="22"/>
          <w:szCs w:val="22"/>
        </w:rPr>
        <w:t xml:space="preserve"> (</w:t>
      </w:r>
      <w:r>
        <w:rPr>
          <w:rFonts w:ascii="Arial" w:hAnsi="Arial" w:cs="Arial"/>
          <w:b/>
          <w:bCs/>
          <w:sz w:val="22"/>
          <w:szCs w:val="22"/>
          <w:lang w:val="hu-HU"/>
        </w:rPr>
        <w:t>IX.</w:t>
      </w:r>
      <w:r w:rsidR="00CB6D95">
        <w:rPr>
          <w:rFonts w:ascii="Arial" w:hAnsi="Arial" w:cs="Arial"/>
          <w:b/>
          <w:bCs/>
          <w:sz w:val="22"/>
          <w:szCs w:val="22"/>
          <w:lang w:val="hu-HU"/>
        </w:rPr>
        <w:t xml:space="preserve"> </w:t>
      </w:r>
      <w:r>
        <w:rPr>
          <w:rFonts w:ascii="Arial" w:hAnsi="Arial" w:cs="Arial"/>
          <w:b/>
          <w:bCs/>
          <w:sz w:val="22"/>
          <w:szCs w:val="22"/>
          <w:lang w:val="hu-HU"/>
        </w:rPr>
        <w:t>29.</w:t>
      </w:r>
      <w:r w:rsidRPr="00F856E0">
        <w:rPr>
          <w:rFonts w:ascii="Arial" w:hAnsi="Arial" w:cs="Arial"/>
          <w:b/>
          <w:bCs/>
          <w:sz w:val="22"/>
          <w:szCs w:val="22"/>
        </w:rPr>
        <w:t>) önkormányzati rendelete</w:t>
      </w:r>
    </w:p>
    <w:p w14:paraId="7AA22974" w14:textId="77777777" w:rsidR="00E7381E" w:rsidRPr="00F856E0" w:rsidRDefault="00E7381E" w:rsidP="00CB6D95">
      <w:pPr>
        <w:pStyle w:val="Szvegtrzs"/>
        <w:jc w:val="center"/>
        <w:rPr>
          <w:rFonts w:ascii="Arial" w:hAnsi="Arial" w:cs="Arial"/>
          <w:b/>
          <w:bCs/>
          <w:sz w:val="22"/>
          <w:szCs w:val="22"/>
        </w:rPr>
      </w:pPr>
      <w:r w:rsidRPr="00F856E0">
        <w:rPr>
          <w:rFonts w:ascii="Arial" w:hAnsi="Arial" w:cs="Arial"/>
          <w:b/>
          <w:bCs/>
          <w:sz w:val="22"/>
          <w:szCs w:val="22"/>
        </w:rPr>
        <w:t>a lakások bérleti díjáról</w:t>
      </w:r>
    </w:p>
    <w:p w14:paraId="25B90FAC" w14:textId="77777777" w:rsidR="00CB6D95" w:rsidRDefault="00CB6D95" w:rsidP="00CB6D95">
      <w:pPr>
        <w:pStyle w:val="Szvegtrzs"/>
        <w:rPr>
          <w:rFonts w:ascii="Arial" w:hAnsi="Arial" w:cs="Arial"/>
          <w:sz w:val="22"/>
          <w:szCs w:val="22"/>
        </w:rPr>
      </w:pPr>
    </w:p>
    <w:p w14:paraId="729219BD" w14:textId="77777777" w:rsidR="006022FF" w:rsidRDefault="006022FF" w:rsidP="00CB6D95">
      <w:pPr>
        <w:pStyle w:val="Szvegtrzs"/>
        <w:rPr>
          <w:rFonts w:ascii="Arial" w:hAnsi="Arial" w:cs="Arial"/>
          <w:sz w:val="22"/>
          <w:szCs w:val="22"/>
        </w:rPr>
      </w:pPr>
    </w:p>
    <w:p w14:paraId="3A1D325D" w14:textId="5E3B5858" w:rsidR="00E7381E" w:rsidRPr="00F856E0" w:rsidRDefault="00E7381E" w:rsidP="00CB6D95">
      <w:pPr>
        <w:pStyle w:val="Szvegtrzs"/>
        <w:rPr>
          <w:rFonts w:ascii="Arial" w:hAnsi="Arial" w:cs="Arial"/>
          <w:sz w:val="22"/>
          <w:szCs w:val="22"/>
        </w:rPr>
      </w:pPr>
      <w:r w:rsidRPr="00F856E0">
        <w:rPr>
          <w:rFonts w:ascii="Arial" w:hAnsi="Arial" w:cs="Arial"/>
          <w:sz w:val="22"/>
          <w:szCs w:val="22"/>
        </w:rPr>
        <w:t>Nagykanizsa Megyei Jogú Város Önkormányzatának Közgyűlése az Alaptörvény 32. cikk (2) bekezdésében, valamint a Magyarország helyi önkormányzatairól szóló 2011. évi CLXXXIX. törvény 13. § (1) bekezdés 9. pontjában meghatározott feladatkörében eljárva, a lakások és helyiségek bérletére, valamint elidegenítésükre vonatkozó egyes szabályokról szóló 1993. évi LXXVIII. törvény 34. § (1) bekezdés a) és b) pontjában, a 20. § (3) bekezdésében és a 35. § (2) bekezdésében kapott felhatalmazás alapján a következőket rendeli el:</w:t>
      </w:r>
    </w:p>
    <w:p w14:paraId="0D21F0EE" w14:textId="77777777" w:rsidR="00E7381E" w:rsidRPr="00F856E0" w:rsidRDefault="00E7381E" w:rsidP="00E7381E">
      <w:pPr>
        <w:pStyle w:val="Szvegtrzs"/>
        <w:spacing w:before="280"/>
        <w:jc w:val="center"/>
        <w:rPr>
          <w:rFonts w:ascii="Arial" w:hAnsi="Arial" w:cs="Arial"/>
          <w:b/>
          <w:bCs/>
          <w:sz w:val="22"/>
          <w:szCs w:val="22"/>
        </w:rPr>
      </w:pPr>
      <w:r w:rsidRPr="00F856E0">
        <w:rPr>
          <w:rFonts w:ascii="Arial" w:hAnsi="Arial" w:cs="Arial"/>
          <w:b/>
          <w:bCs/>
          <w:sz w:val="22"/>
          <w:szCs w:val="22"/>
        </w:rPr>
        <w:t>1. A rendelet hatálya</w:t>
      </w:r>
    </w:p>
    <w:p w14:paraId="6A249773"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1. §</w:t>
      </w:r>
    </w:p>
    <w:p w14:paraId="18D31170"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A rendelet hatálya kiterjed Nagykanizsa Megyei Jogú Város Önkormányzata (a továbbiakban: önkormányzat) tulajdonában álló bérlakásokra és szükséglakásokra.</w:t>
      </w:r>
    </w:p>
    <w:p w14:paraId="7450B66C"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(2) Az önkormányzat és más személy vagy személyek közös tulajdonában lévő lakások esetében az önkormányzati tulajdoni hányad tekintetében is e rendelet előírásait kell alkalmazni.</w:t>
      </w:r>
    </w:p>
    <w:p w14:paraId="57734B0A" w14:textId="77777777" w:rsidR="00E7381E" w:rsidRPr="00F856E0" w:rsidRDefault="00E7381E" w:rsidP="00E7381E">
      <w:pPr>
        <w:pStyle w:val="Szvegtrzs"/>
        <w:spacing w:before="280"/>
        <w:jc w:val="center"/>
        <w:rPr>
          <w:rFonts w:ascii="Arial" w:hAnsi="Arial" w:cs="Arial"/>
          <w:b/>
          <w:bCs/>
          <w:sz w:val="22"/>
          <w:szCs w:val="22"/>
        </w:rPr>
      </w:pPr>
      <w:r w:rsidRPr="00F856E0">
        <w:rPr>
          <w:rFonts w:ascii="Arial" w:hAnsi="Arial" w:cs="Arial"/>
          <w:b/>
          <w:bCs/>
          <w:sz w:val="22"/>
          <w:szCs w:val="22"/>
        </w:rPr>
        <w:t>2. A lakások bérleti díja</w:t>
      </w:r>
    </w:p>
    <w:p w14:paraId="7D129792"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2. §</w:t>
      </w:r>
    </w:p>
    <w:p w14:paraId="4D4DAD2E"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Lakásbérleti jogviszony fennállása esetén a lakás használatáért, továbbá a lakásbérleti jogviszony keretében – bérbeadó által biztosított – külön jogszabályban és önkormányzati rendeletben megállapított szolgáltatásokért a bérlő</w:t>
      </w:r>
    </w:p>
    <w:p w14:paraId="37F9A257"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a)</w:t>
      </w:r>
      <w:r w:rsidRPr="00F856E0">
        <w:rPr>
          <w:rFonts w:ascii="Arial" w:hAnsi="Arial" w:cs="Arial"/>
          <w:sz w:val="22"/>
          <w:szCs w:val="22"/>
        </w:rPr>
        <w:tab/>
        <w:t>lakbért,</w:t>
      </w:r>
    </w:p>
    <w:p w14:paraId="7ED5BB45"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b)</w:t>
      </w:r>
      <w:r w:rsidRPr="00F856E0">
        <w:rPr>
          <w:rFonts w:ascii="Arial" w:hAnsi="Arial" w:cs="Arial"/>
          <w:sz w:val="22"/>
          <w:szCs w:val="22"/>
        </w:rPr>
        <w:tab/>
        <w:t>lakbérrel megegyező elbírálás alá eső szolgáltatási díjat,</w:t>
      </w:r>
    </w:p>
    <w:p w14:paraId="687E33D6"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(a továbbiakban együtt: bérleti díjat) köteles fizetni.</w:t>
      </w:r>
    </w:p>
    <w:p w14:paraId="4C9776A0"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(2) A lakbér és lakbérrel megegyező elbírálás alá eső szolgáltatási díj együttes összegének megfelelő bérleti díjat a kerekítés általános szabályai szerint forintra kerekítve kell megállapítani.</w:t>
      </w:r>
    </w:p>
    <w:p w14:paraId="69AEC8D1" w14:textId="6DB7CA06"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(3)</w:t>
      </w:r>
      <w:r w:rsidR="00623B59">
        <w:rPr>
          <w:rFonts w:ascii="Arial" w:hAnsi="Arial" w:cs="Arial"/>
          <w:sz w:val="22"/>
          <w:szCs w:val="22"/>
        </w:rPr>
        <w:t xml:space="preserve"> </w:t>
      </w:r>
      <w:r w:rsidR="00623B59">
        <w:rPr>
          <w:rStyle w:val="Lbjegyzet-hivatkozs"/>
          <w:rFonts w:ascii="Arial" w:hAnsi="Arial" w:cs="Arial"/>
          <w:sz w:val="22"/>
          <w:szCs w:val="22"/>
        </w:rPr>
        <w:footnoteReference w:id="1"/>
      </w:r>
    </w:p>
    <w:p w14:paraId="715ADAF5" w14:textId="71362DAA"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(4)</w:t>
      </w:r>
      <w:r w:rsidR="003C4B21">
        <w:rPr>
          <w:rFonts w:ascii="Arial" w:hAnsi="Arial" w:cs="Arial"/>
          <w:sz w:val="22"/>
          <w:szCs w:val="22"/>
        </w:rPr>
        <w:t xml:space="preserve"> </w:t>
      </w:r>
      <w:r w:rsidR="003C4B21">
        <w:rPr>
          <w:rStyle w:val="Lbjegyzet-hivatkozs"/>
          <w:rFonts w:ascii="Arial" w:hAnsi="Arial" w:cs="Arial"/>
          <w:sz w:val="22"/>
          <w:szCs w:val="22"/>
        </w:rPr>
        <w:footnoteReference w:id="2"/>
      </w:r>
    </w:p>
    <w:p w14:paraId="458ECB76" w14:textId="77777777" w:rsidR="00E7381E" w:rsidRPr="00F856E0" w:rsidRDefault="00E7381E" w:rsidP="00E7381E">
      <w:pPr>
        <w:pStyle w:val="Szvegtrzs"/>
        <w:spacing w:before="280"/>
        <w:jc w:val="center"/>
        <w:rPr>
          <w:rFonts w:ascii="Arial" w:hAnsi="Arial" w:cs="Arial"/>
          <w:b/>
          <w:bCs/>
          <w:sz w:val="22"/>
          <w:szCs w:val="22"/>
        </w:rPr>
      </w:pPr>
      <w:r w:rsidRPr="00F856E0">
        <w:rPr>
          <w:rFonts w:ascii="Arial" w:hAnsi="Arial" w:cs="Arial"/>
          <w:b/>
          <w:bCs/>
          <w:sz w:val="22"/>
          <w:szCs w:val="22"/>
        </w:rPr>
        <w:t>3. A lakbér megállapítása és kiszámításának módja</w:t>
      </w:r>
    </w:p>
    <w:p w14:paraId="12203B6C"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3. §</w:t>
      </w:r>
    </w:p>
    <w:p w14:paraId="799451A2"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Önkormányzati tulajdonú lakóingatlan bérleti díjának megállapítása történhet</w:t>
      </w:r>
    </w:p>
    <w:p w14:paraId="4A0CA4EB"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a)</w:t>
      </w:r>
      <w:r w:rsidRPr="00F856E0">
        <w:rPr>
          <w:rFonts w:ascii="Arial" w:hAnsi="Arial" w:cs="Arial"/>
          <w:sz w:val="22"/>
          <w:szCs w:val="22"/>
        </w:rPr>
        <w:tab/>
        <w:t>szociális helyzet alapján,</w:t>
      </w:r>
    </w:p>
    <w:p w14:paraId="621FA8F4" w14:textId="77D3BEA6" w:rsidR="00E7381E" w:rsidRDefault="00E7381E" w:rsidP="00E7381E">
      <w:pPr>
        <w:pStyle w:val="Szvegtrzs"/>
        <w:ind w:left="580" w:hanging="560"/>
        <w:rPr>
          <w:rFonts w:ascii="Arial" w:hAnsi="Arial" w:cs="Arial"/>
          <w:sz w:val="22"/>
          <w:szCs w:val="22"/>
        </w:rPr>
      </w:pPr>
      <w:r w:rsidRPr="00F856E0">
        <w:rPr>
          <w:rFonts w:ascii="Arial" w:hAnsi="Arial" w:cs="Arial"/>
          <w:i/>
          <w:iCs/>
          <w:sz w:val="22"/>
          <w:szCs w:val="22"/>
        </w:rPr>
        <w:lastRenderedPageBreak/>
        <w:t>b)</w:t>
      </w:r>
      <w:r w:rsidRPr="00F856E0">
        <w:rPr>
          <w:rFonts w:ascii="Arial" w:hAnsi="Arial" w:cs="Arial"/>
          <w:sz w:val="22"/>
          <w:szCs w:val="22"/>
        </w:rPr>
        <w:tab/>
      </w:r>
      <w:r w:rsidR="00623B59">
        <w:rPr>
          <w:rStyle w:val="Lbjegyzet-hivatkozs"/>
          <w:rFonts w:ascii="Arial" w:hAnsi="Arial" w:cs="Arial"/>
          <w:sz w:val="22"/>
          <w:szCs w:val="22"/>
        </w:rPr>
        <w:footnoteReference w:id="3"/>
      </w:r>
      <w:r w:rsidR="00623B59">
        <w:rPr>
          <w:rFonts w:ascii="Arial" w:hAnsi="Arial" w:cs="Arial"/>
          <w:sz w:val="22"/>
          <w:szCs w:val="22"/>
        </w:rPr>
        <w:t xml:space="preserve"> </w:t>
      </w:r>
      <w:r w:rsidRPr="00F856E0">
        <w:rPr>
          <w:rFonts w:ascii="Arial" w:hAnsi="Arial" w:cs="Arial"/>
          <w:sz w:val="22"/>
          <w:szCs w:val="22"/>
        </w:rPr>
        <w:t>költségelven</w:t>
      </w:r>
      <w:r w:rsidR="00623B59">
        <w:rPr>
          <w:rFonts w:ascii="Arial" w:hAnsi="Arial" w:cs="Arial"/>
          <w:sz w:val="22"/>
          <w:szCs w:val="22"/>
        </w:rPr>
        <w:t>,</w:t>
      </w:r>
    </w:p>
    <w:p w14:paraId="22047CB7" w14:textId="7ACC746A" w:rsidR="00623B59" w:rsidRPr="00623B59" w:rsidRDefault="00623B59" w:rsidP="00E7381E">
      <w:pPr>
        <w:pStyle w:val="Szvegtrzs"/>
        <w:ind w:left="580" w:hanging="560"/>
        <w:rPr>
          <w:rFonts w:ascii="Arial" w:hAnsi="Arial" w:cs="Arial"/>
          <w:i/>
          <w:iCs/>
          <w:sz w:val="22"/>
          <w:szCs w:val="22"/>
        </w:rPr>
      </w:pPr>
      <w:r>
        <w:rPr>
          <w:rFonts w:ascii="Arial" w:hAnsi="Arial" w:cs="Arial"/>
          <w:i/>
          <w:iCs/>
          <w:sz w:val="22"/>
          <w:szCs w:val="22"/>
        </w:rPr>
        <w:t xml:space="preserve">c) </w:t>
      </w:r>
      <w:r w:rsidR="00BF36AB">
        <w:rPr>
          <w:rFonts w:ascii="Arial" w:hAnsi="Arial" w:cs="Arial"/>
          <w:i/>
          <w:iCs/>
          <w:sz w:val="22"/>
          <w:szCs w:val="22"/>
        </w:rPr>
        <w:tab/>
      </w:r>
      <w:r>
        <w:rPr>
          <w:rStyle w:val="Lbjegyzet-hivatkozs"/>
          <w:rFonts w:ascii="Arial" w:hAnsi="Arial" w:cs="Arial"/>
          <w:i/>
          <w:iCs/>
          <w:sz w:val="22"/>
          <w:szCs w:val="22"/>
        </w:rPr>
        <w:footnoteReference w:id="4"/>
      </w:r>
      <w:r>
        <w:rPr>
          <w:rFonts w:ascii="Arial" w:hAnsi="Arial" w:cs="Arial"/>
          <w:i/>
          <w:iCs/>
          <w:sz w:val="22"/>
          <w:szCs w:val="22"/>
        </w:rPr>
        <w:t xml:space="preserve"> </w:t>
      </w:r>
      <w:r w:rsidRPr="00BF36AB">
        <w:rPr>
          <w:rFonts w:ascii="Arial" w:hAnsi="Arial" w:cs="Arial"/>
          <w:sz w:val="22"/>
          <w:szCs w:val="22"/>
        </w:rPr>
        <w:t>piaci alapon</w:t>
      </w:r>
      <w:r>
        <w:rPr>
          <w:rFonts w:ascii="Arial" w:hAnsi="Arial" w:cs="Arial"/>
          <w:i/>
          <w:iCs/>
          <w:sz w:val="22"/>
          <w:szCs w:val="22"/>
        </w:rPr>
        <w:t>.</w:t>
      </w:r>
    </w:p>
    <w:p w14:paraId="73A193D2"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(2) A lakbér mértékét a lakás alapterülete alapján a lakás jellemző adatainak figyelembevételével kell meghatározni.</w:t>
      </w:r>
    </w:p>
    <w:p w14:paraId="18B0D0CF"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(3) A lakás jellemző adatai:</w:t>
      </w:r>
    </w:p>
    <w:p w14:paraId="52474FDE"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a)</w:t>
      </w:r>
      <w:r w:rsidRPr="00F856E0">
        <w:rPr>
          <w:rFonts w:ascii="Arial" w:hAnsi="Arial" w:cs="Arial"/>
          <w:sz w:val="22"/>
          <w:szCs w:val="22"/>
        </w:rPr>
        <w:tab/>
        <w:t>az ingatlan városon belüli elhelyezkedése,</w:t>
      </w:r>
    </w:p>
    <w:p w14:paraId="14CFDA1B"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b)</w:t>
      </w:r>
      <w:r w:rsidRPr="00F856E0">
        <w:rPr>
          <w:rFonts w:ascii="Arial" w:hAnsi="Arial" w:cs="Arial"/>
          <w:sz w:val="22"/>
          <w:szCs w:val="22"/>
        </w:rPr>
        <w:tab/>
        <w:t>lakóépületen belüli elhelyezkedés,</w:t>
      </w:r>
    </w:p>
    <w:p w14:paraId="04EF0B37"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c)</w:t>
      </w:r>
      <w:r w:rsidRPr="00F856E0">
        <w:rPr>
          <w:rFonts w:ascii="Arial" w:hAnsi="Arial" w:cs="Arial"/>
          <w:sz w:val="22"/>
          <w:szCs w:val="22"/>
        </w:rPr>
        <w:tab/>
        <w:t>komfortfokozat,</w:t>
      </w:r>
    </w:p>
    <w:p w14:paraId="618DE271"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d)</w:t>
      </w:r>
      <w:r w:rsidRPr="00F856E0">
        <w:rPr>
          <w:rFonts w:ascii="Arial" w:hAnsi="Arial" w:cs="Arial"/>
          <w:sz w:val="22"/>
          <w:szCs w:val="22"/>
        </w:rPr>
        <w:tab/>
        <w:t>a lakás műszaki, minőségi jellemzői,</w:t>
      </w:r>
    </w:p>
    <w:p w14:paraId="1B35025D"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e)</w:t>
      </w:r>
      <w:r w:rsidRPr="00F856E0">
        <w:rPr>
          <w:rFonts w:ascii="Arial" w:hAnsi="Arial" w:cs="Arial"/>
          <w:sz w:val="22"/>
          <w:szCs w:val="22"/>
        </w:rPr>
        <w:tab/>
        <w:t>a lakást magába foglaló épület műszaki állapota.</w:t>
      </w:r>
    </w:p>
    <w:p w14:paraId="5BA8602F"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(4) Az önkormányzati tulajdonú lakások lakbérének mértékét a rendelet 1. melléklete szerint kell megállapítani.</w:t>
      </w:r>
    </w:p>
    <w:p w14:paraId="657EBFF7"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(5) A (4) bekezdés alapján megállapított lakbér mértékét felül kell vizsgálni minden esetben, ha a bérleti idő alatt a bérleményen a bérbeadó vagy a tulajdonos önkormányzat költségére korszerűsítést, felújítást hajtanak végre, különös tekintettel, ha azt a bérlő kérte, vagy, mert arra jogszabály, társasházi döntés, jogerős bírósági ítélet, vagy valamely hatóság a tulajdonos önkormányzatot kötelezte.</w:t>
      </w:r>
    </w:p>
    <w:p w14:paraId="4A975F37"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(6) A határozatlan idejű bérleti szerződés esetében a lakás a normál állapotú kategóriába sorolandó azzal, hogy a bérlemény műszaki állapotát a bérlőnek a tőle elvárt gondossággal meg kell őriznie, a szükséges felújításokat, javításokat el kell végeznie vagy végeztetnie.</w:t>
      </w:r>
    </w:p>
    <w:p w14:paraId="2C2C9DD1"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(7) Az épület műszaki állapotának felmérése, kategóriába sorolása a bérbeadó feladata a nyílászárók, a fűtés, az elektromos hálózat, valamint az épület födém, lábazat, homlokzat korszerűsége, műszaki állapota alapján.</w:t>
      </w:r>
    </w:p>
    <w:p w14:paraId="46AF36CA" w14:textId="77777777" w:rsidR="00E7381E" w:rsidRPr="00F856E0" w:rsidRDefault="00E7381E" w:rsidP="00E7381E">
      <w:pPr>
        <w:pStyle w:val="Szvegtrzs"/>
        <w:spacing w:before="280"/>
        <w:jc w:val="center"/>
        <w:rPr>
          <w:rFonts w:ascii="Arial" w:hAnsi="Arial" w:cs="Arial"/>
          <w:b/>
          <w:bCs/>
          <w:sz w:val="22"/>
          <w:szCs w:val="22"/>
        </w:rPr>
      </w:pPr>
      <w:r w:rsidRPr="00F856E0">
        <w:rPr>
          <w:rFonts w:ascii="Arial" w:hAnsi="Arial" w:cs="Arial"/>
          <w:b/>
          <w:bCs/>
          <w:sz w:val="22"/>
          <w:szCs w:val="22"/>
        </w:rPr>
        <w:t>4. A lakás lakbérének mérséklése, lakbérből adható engedmények</w:t>
      </w:r>
    </w:p>
    <w:p w14:paraId="4AD5B162"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4. §</w:t>
      </w:r>
    </w:p>
    <w:p w14:paraId="0302D9D1"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Bérlő írásban kérheti a bérbeadónál</w:t>
      </w:r>
    </w:p>
    <w:p w14:paraId="1F6AD8E8"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a)</w:t>
      </w:r>
      <w:r w:rsidRPr="00F856E0">
        <w:rPr>
          <w:rFonts w:ascii="Arial" w:hAnsi="Arial" w:cs="Arial"/>
          <w:sz w:val="22"/>
          <w:szCs w:val="22"/>
        </w:rPr>
        <w:tab/>
        <w:t>a lakbér mérséklését, ha a 3. § (3) bekezdés e) pontja szerinti paraméterekben változás áll be,</w:t>
      </w:r>
    </w:p>
    <w:p w14:paraId="610FF5AD"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b)</w:t>
      </w:r>
      <w:r w:rsidRPr="00F856E0">
        <w:rPr>
          <w:rFonts w:ascii="Arial" w:hAnsi="Arial" w:cs="Arial"/>
          <w:sz w:val="22"/>
          <w:szCs w:val="22"/>
        </w:rPr>
        <w:tab/>
        <w:t>a lakbér elengedését vagy mérséklését a bérbeadót terhelő kötelezettség elmulasztása miatt, ha a lakás vagy egyes helyiségei 30 napot meghaladóan rendeltetésszerűen nem, vagy csak korlátozottan használhatók,</w:t>
      </w:r>
    </w:p>
    <w:p w14:paraId="3C50E3EF" w14:textId="738508F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c)</w:t>
      </w:r>
      <w:r w:rsidRPr="00F856E0">
        <w:rPr>
          <w:rFonts w:ascii="Arial" w:hAnsi="Arial" w:cs="Arial"/>
          <w:sz w:val="22"/>
          <w:szCs w:val="22"/>
        </w:rPr>
        <w:tab/>
      </w:r>
      <w:r w:rsidR="00623B59">
        <w:rPr>
          <w:rStyle w:val="Lbjegyzet-hivatkozs"/>
          <w:rFonts w:ascii="Arial" w:hAnsi="Arial" w:cs="Arial"/>
          <w:sz w:val="22"/>
          <w:szCs w:val="22"/>
        </w:rPr>
        <w:footnoteReference w:id="5"/>
      </w:r>
    </w:p>
    <w:p w14:paraId="06452BDB"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 xml:space="preserve">(2) Az (1) bekezdés a) pontja esetében a 1. melléklet szerint kell a lakbért újra megállapítani. </w:t>
      </w:r>
    </w:p>
    <w:p w14:paraId="26B036D8"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(3) Az (1) bekezdés b) pontja esetén a lakbér elengedéséről vagy mérsékléséről a bérbeadó a körülményeket figyelembe véve dönt az érintett időszakra vonatkozóan.</w:t>
      </w:r>
    </w:p>
    <w:p w14:paraId="5134BE7B" w14:textId="77777777" w:rsidR="00E7381E" w:rsidRDefault="00E7381E" w:rsidP="00E7381E">
      <w:pPr>
        <w:pStyle w:val="Szvegtrzs"/>
        <w:spacing w:before="240"/>
        <w:rPr>
          <w:rFonts w:ascii="Arial" w:hAnsi="Arial" w:cs="Arial"/>
          <w:sz w:val="22"/>
          <w:szCs w:val="22"/>
        </w:rPr>
      </w:pPr>
      <w:r w:rsidRPr="00F856E0">
        <w:rPr>
          <w:rFonts w:ascii="Arial" w:hAnsi="Arial" w:cs="Arial"/>
          <w:sz w:val="22"/>
          <w:szCs w:val="22"/>
        </w:rPr>
        <w:t>(4) Az önkormányzat tulajdonában lévő és a Ludwig Múzeum – Kortárs Művészeti Múzeum bérlőkijelölési jogával érintett műteremlakásoknál a bérlő a műteremlakás műterem részének alapterületére vonatkozóan mentesül a lakbérfizetési kötelezettség alól.</w:t>
      </w:r>
    </w:p>
    <w:p w14:paraId="6F7C4F7E" w14:textId="77777777" w:rsidR="00E7381E" w:rsidRPr="00F856E0" w:rsidRDefault="00E7381E" w:rsidP="00E7381E">
      <w:pPr>
        <w:pStyle w:val="Szvegtrzs"/>
        <w:spacing w:before="280"/>
        <w:jc w:val="center"/>
        <w:rPr>
          <w:rFonts w:ascii="Arial" w:hAnsi="Arial" w:cs="Arial"/>
          <w:b/>
          <w:bCs/>
          <w:sz w:val="22"/>
          <w:szCs w:val="22"/>
        </w:rPr>
      </w:pPr>
      <w:r w:rsidRPr="00F856E0">
        <w:rPr>
          <w:rFonts w:ascii="Arial" w:hAnsi="Arial" w:cs="Arial"/>
          <w:b/>
          <w:bCs/>
          <w:sz w:val="22"/>
          <w:szCs w:val="22"/>
        </w:rPr>
        <w:lastRenderedPageBreak/>
        <w:t>5. Külön szolgáltatások díja</w:t>
      </w:r>
    </w:p>
    <w:p w14:paraId="0F029AAC"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5. §</w:t>
      </w:r>
    </w:p>
    <w:p w14:paraId="71F482BC"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Lakbéren felül fizetendő, a bérbeadó által biztosított külön szolgáltatások körébe tartozik:</w:t>
      </w:r>
    </w:p>
    <w:p w14:paraId="4C4866B9"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a)</w:t>
      </w:r>
      <w:r w:rsidRPr="00F856E0">
        <w:rPr>
          <w:rFonts w:ascii="Arial" w:hAnsi="Arial" w:cs="Arial"/>
          <w:sz w:val="22"/>
          <w:szCs w:val="22"/>
        </w:rPr>
        <w:tab/>
        <w:t>vízellátás és csatornahasználat biztosítása,</w:t>
      </w:r>
    </w:p>
    <w:p w14:paraId="1099ADF0"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b)</w:t>
      </w:r>
      <w:r w:rsidRPr="00F856E0">
        <w:rPr>
          <w:rFonts w:ascii="Arial" w:hAnsi="Arial" w:cs="Arial"/>
          <w:sz w:val="22"/>
          <w:szCs w:val="22"/>
        </w:rPr>
        <w:tab/>
        <w:t>felvonó használatának biztosítása,</w:t>
      </w:r>
    </w:p>
    <w:p w14:paraId="72B284C9"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c)</w:t>
      </w:r>
      <w:r w:rsidRPr="00F856E0">
        <w:rPr>
          <w:rFonts w:ascii="Arial" w:hAnsi="Arial" w:cs="Arial"/>
          <w:sz w:val="22"/>
          <w:szCs w:val="22"/>
        </w:rPr>
        <w:tab/>
        <w:t>központi fűtés és melegvíz ellátásának biztosítása,</w:t>
      </w:r>
    </w:p>
    <w:p w14:paraId="459D007D"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d)</w:t>
      </w:r>
      <w:r w:rsidRPr="00F856E0">
        <w:rPr>
          <w:rFonts w:ascii="Arial" w:hAnsi="Arial" w:cs="Arial"/>
          <w:sz w:val="22"/>
          <w:szCs w:val="22"/>
        </w:rPr>
        <w:tab/>
        <w:t>szemétszállítás,</w:t>
      </w:r>
    </w:p>
    <w:p w14:paraId="3328A3C9"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e)</w:t>
      </w:r>
      <w:r w:rsidRPr="00F856E0">
        <w:rPr>
          <w:rFonts w:ascii="Arial" w:hAnsi="Arial" w:cs="Arial"/>
          <w:sz w:val="22"/>
          <w:szCs w:val="22"/>
        </w:rPr>
        <w:tab/>
        <w:t>lépcsőházi és udvari világítás,</w:t>
      </w:r>
    </w:p>
    <w:p w14:paraId="392030D5"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f)</w:t>
      </w:r>
      <w:r w:rsidRPr="00F856E0">
        <w:rPr>
          <w:rFonts w:ascii="Arial" w:hAnsi="Arial" w:cs="Arial"/>
          <w:sz w:val="22"/>
          <w:szCs w:val="22"/>
        </w:rPr>
        <w:tab/>
        <w:t>közös tulajdonban lévő, közös használatú területek (lépcsőházak, járda) takarítása,</w:t>
      </w:r>
    </w:p>
    <w:p w14:paraId="22FE3AEA" w14:textId="77777777" w:rsidR="00E7381E" w:rsidRPr="00F856E0" w:rsidRDefault="00E7381E" w:rsidP="00E7381E">
      <w:pPr>
        <w:pStyle w:val="Szvegtrzs"/>
        <w:ind w:left="580" w:hanging="560"/>
        <w:rPr>
          <w:rFonts w:ascii="Arial" w:hAnsi="Arial" w:cs="Arial"/>
          <w:sz w:val="22"/>
          <w:szCs w:val="22"/>
        </w:rPr>
      </w:pPr>
      <w:r w:rsidRPr="00F856E0">
        <w:rPr>
          <w:rFonts w:ascii="Arial" w:hAnsi="Arial" w:cs="Arial"/>
          <w:i/>
          <w:iCs/>
          <w:sz w:val="22"/>
          <w:szCs w:val="22"/>
        </w:rPr>
        <w:t>g)</w:t>
      </w:r>
      <w:r w:rsidRPr="00F856E0">
        <w:rPr>
          <w:rFonts w:ascii="Arial" w:hAnsi="Arial" w:cs="Arial"/>
          <w:sz w:val="22"/>
          <w:szCs w:val="22"/>
        </w:rPr>
        <w:tab/>
        <w:t>a társasház közgyűlése által meghatározott egyéb közös költségek, kivéve a felújítási alap, hiteltörlesztés, biztosítás és karbantartás.</w:t>
      </w:r>
    </w:p>
    <w:p w14:paraId="0E26ED31"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(2) Bérbeadó a külön szolgáltatások díjait a bérlőnek továbbszámlázza.</w:t>
      </w:r>
    </w:p>
    <w:p w14:paraId="06661D89" w14:textId="77777777" w:rsidR="00E7381E" w:rsidRPr="00F856E0" w:rsidRDefault="00E7381E" w:rsidP="00E7381E">
      <w:pPr>
        <w:pStyle w:val="Szvegtrzs"/>
        <w:spacing w:before="280"/>
        <w:jc w:val="center"/>
        <w:rPr>
          <w:rFonts w:ascii="Arial" w:hAnsi="Arial" w:cs="Arial"/>
          <w:b/>
          <w:bCs/>
          <w:sz w:val="22"/>
          <w:szCs w:val="22"/>
        </w:rPr>
      </w:pPr>
      <w:r w:rsidRPr="00F856E0">
        <w:rPr>
          <w:rFonts w:ascii="Arial" w:hAnsi="Arial" w:cs="Arial"/>
          <w:b/>
          <w:bCs/>
          <w:sz w:val="22"/>
          <w:szCs w:val="22"/>
        </w:rPr>
        <w:t>6. Záró rendelkezések</w:t>
      </w:r>
    </w:p>
    <w:p w14:paraId="1687D51B"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6. §</w:t>
      </w:r>
    </w:p>
    <w:p w14:paraId="74073975"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Hatályát veszti az önkormányzati bérlakások lakbértámogatásáról szóló 25/2007. (V. 16.) önkormányzati rendelet.</w:t>
      </w:r>
    </w:p>
    <w:p w14:paraId="543436BD"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7. §</w:t>
      </w:r>
    </w:p>
    <w:p w14:paraId="7224C69A"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Hatályát veszti a lakások bérleti díjáról szóló 28/2018. (XI.30.) önkormányzati rendelet.</w:t>
      </w:r>
    </w:p>
    <w:p w14:paraId="07E3E8E7"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8. §</w:t>
      </w:r>
    </w:p>
    <w:p w14:paraId="4D6A8935"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Ez a rendelet – a (2) bekezdésben foglalt kivétellel – 2024. január 1-jén lép hatályba.</w:t>
      </w:r>
    </w:p>
    <w:p w14:paraId="0B1EA54D"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(2) A 6. § és a 7. § 2024. október 1-jén lép hatályba.</w:t>
      </w:r>
    </w:p>
    <w:p w14:paraId="31B835CB" w14:textId="77777777" w:rsidR="00E7381E" w:rsidRPr="00F856E0" w:rsidRDefault="00E7381E" w:rsidP="00E7381E">
      <w:pPr>
        <w:pStyle w:val="Szvegtrzs"/>
        <w:spacing w:before="240" w:after="240"/>
        <w:jc w:val="center"/>
        <w:rPr>
          <w:rFonts w:ascii="Arial" w:hAnsi="Arial" w:cs="Arial"/>
          <w:b/>
          <w:bCs/>
          <w:sz w:val="22"/>
          <w:szCs w:val="22"/>
        </w:rPr>
      </w:pPr>
      <w:r w:rsidRPr="00F856E0">
        <w:rPr>
          <w:rFonts w:ascii="Arial" w:hAnsi="Arial" w:cs="Arial"/>
          <w:b/>
          <w:bCs/>
          <w:sz w:val="22"/>
          <w:szCs w:val="22"/>
        </w:rPr>
        <w:t>9. §</w:t>
      </w:r>
    </w:p>
    <w:p w14:paraId="02F476C8" w14:textId="77777777" w:rsidR="00E7381E" w:rsidRPr="00F856E0" w:rsidRDefault="00E7381E" w:rsidP="00E7381E">
      <w:pPr>
        <w:pStyle w:val="Szvegtrzs"/>
        <w:rPr>
          <w:rFonts w:ascii="Arial" w:hAnsi="Arial" w:cs="Arial"/>
          <w:sz w:val="22"/>
          <w:szCs w:val="22"/>
        </w:rPr>
      </w:pPr>
      <w:r w:rsidRPr="00F856E0">
        <w:rPr>
          <w:rFonts w:ascii="Arial" w:hAnsi="Arial" w:cs="Arial"/>
          <w:sz w:val="22"/>
          <w:szCs w:val="22"/>
        </w:rPr>
        <w:t>(1) A szociális alapon 2024. január 1. előtt megkötött lakásbérleti szerződések tekintetében 2024. január 1. és 2024. augusztus 31. napja közötti időszakban felülvizsgálatot kell végezni. E kötelezettségről Nagykanizsa Megyei Jogú Város Polgármesteri Hivatala kijelölt szervezeti egysége minden igénylőt értesít.</w:t>
      </w:r>
    </w:p>
    <w:p w14:paraId="777D7573" w14:textId="77777777" w:rsidR="00E7381E" w:rsidRPr="00F856E0" w:rsidRDefault="00E7381E" w:rsidP="00E7381E">
      <w:pPr>
        <w:pStyle w:val="Szvegtrzs"/>
        <w:spacing w:before="240"/>
        <w:rPr>
          <w:rFonts w:ascii="Arial" w:hAnsi="Arial" w:cs="Arial"/>
          <w:sz w:val="22"/>
          <w:szCs w:val="22"/>
        </w:rPr>
      </w:pPr>
      <w:r w:rsidRPr="00F856E0">
        <w:rPr>
          <w:rFonts w:ascii="Arial" w:hAnsi="Arial" w:cs="Arial"/>
          <w:sz w:val="22"/>
          <w:szCs w:val="22"/>
        </w:rPr>
        <w:t>(2) A (1) bekezdés szerint felülvizsgált bérleti díjfizetési kötelezettség tekintetében e rendelet rendelkezéseit kell alkalmazni.</w:t>
      </w:r>
    </w:p>
    <w:p w14:paraId="230FAFB9" w14:textId="77777777" w:rsidR="00E7381E" w:rsidRDefault="00E7381E" w:rsidP="00E7381E">
      <w:pPr>
        <w:pStyle w:val="Szvegtrzs"/>
        <w:spacing w:before="240"/>
        <w:rPr>
          <w:rFonts w:ascii="Arial" w:hAnsi="Arial" w:cs="Arial"/>
          <w:sz w:val="22"/>
          <w:szCs w:val="22"/>
        </w:rPr>
      </w:pPr>
      <w:r w:rsidRPr="00F856E0">
        <w:rPr>
          <w:rFonts w:ascii="Arial" w:hAnsi="Arial" w:cs="Arial"/>
          <w:sz w:val="22"/>
          <w:szCs w:val="22"/>
        </w:rPr>
        <w:t>(3) E rendelet a belső piaci szolgáltatásokról szóló az Európai Parlament és a Tanács 2006/123/EK irányelvének való megfelelést szolgálja.</w:t>
      </w:r>
    </w:p>
    <w:p w14:paraId="5B8C85C9" w14:textId="77777777" w:rsidR="00115921" w:rsidRDefault="00115921" w:rsidP="00115921">
      <w:pPr>
        <w:jc w:val="both"/>
        <w:rPr>
          <w:rFonts w:ascii="Arial" w:hAnsi="Arial" w:cs="Arial"/>
          <w:sz w:val="22"/>
          <w:szCs w:val="22"/>
          <w:lang w:eastAsia="ar-SA"/>
        </w:rPr>
      </w:pPr>
    </w:p>
    <w:p w14:paraId="26C05E78" w14:textId="3599778F" w:rsidR="00E7381E" w:rsidRPr="001F4C7A" w:rsidRDefault="00E7381E" w:rsidP="00115921">
      <w:pPr>
        <w:jc w:val="both"/>
        <w:rPr>
          <w:rFonts w:ascii="Arial" w:hAnsi="Arial" w:cs="Arial"/>
          <w:sz w:val="22"/>
          <w:szCs w:val="22"/>
          <w:lang w:eastAsia="ar-SA"/>
        </w:rPr>
      </w:pPr>
      <w:r w:rsidRPr="001F4C7A">
        <w:rPr>
          <w:rFonts w:ascii="Arial" w:hAnsi="Arial" w:cs="Arial"/>
          <w:sz w:val="22"/>
          <w:szCs w:val="22"/>
          <w:lang w:eastAsia="ar-SA"/>
        </w:rPr>
        <w:t>Nagykanizsa, 2023.</w:t>
      </w:r>
      <w:r w:rsidR="006F3D19">
        <w:rPr>
          <w:rFonts w:ascii="Arial" w:hAnsi="Arial" w:cs="Arial"/>
          <w:sz w:val="22"/>
          <w:szCs w:val="22"/>
          <w:lang w:eastAsia="ar-SA"/>
        </w:rPr>
        <w:t xml:space="preserve"> szeptember 28.</w:t>
      </w:r>
    </w:p>
    <w:tbl>
      <w:tblPr>
        <w:tblW w:w="9210" w:type="dxa"/>
        <w:tblInd w:w="-78" w:type="dxa"/>
        <w:tblLayout w:type="fixed"/>
        <w:tblCellMar>
          <w:left w:w="0" w:type="dxa"/>
          <w:right w:w="0" w:type="dxa"/>
        </w:tblCellMar>
        <w:tblLook w:val="04A0" w:firstRow="1" w:lastRow="0" w:firstColumn="1" w:lastColumn="0" w:noHBand="0" w:noVBand="1"/>
      </w:tblPr>
      <w:tblGrid>
        <w:gridCol w:w="4605"/>
        <w:gridCol w:w="4605"/>
      </w:tblGrid>
      <w:tr w:rsidR="00E7381E" w:rsidRPr="001F4C7A" w14:paraId="752CC32D" w14:textId="77777777" w:rsidTr="001020B1">
        <w:tc>
          <w:tcPr>
            <w:tcW w:w="4606" w:type="dxa"/>
            <w:hideMark/>
          </w:tcPr>
          <w:p w14:paraId="356CEB1A" w14:textId="77777777" w:rsidR="00115921" w:rsidRDefault="00115921" w:rsidP="00115921">
            <w:pPr>
              <w:keepNext/>
              <w:tabs>
                <w:tab w:val="num" w:pos="0"/>
              </w:tabs>
              <w:snapToGrid w:val="0"/>
              <w:ind w:left="432" w:hanging="432"/>
              <w:jc w:val="center"/>
              <w:outlineLvl w:val="0"/>
              <w:rPr>
                <w:rFonts w:ascii="Arial" w:hAnsi="Arial" w:cs="Arial"/>
                <w:b/>
                <w:sz w:val="22"/>
                <w:szCs w:val="22"/>
                <w:lang w:eastAsia="ar-SA"/>
              </w:rPr>
            </w:pPr>
          </w:p>
          <w:p w14:paraId="3CF4F6F0" w14:textId="38F54BE2" w:rsidR="00E7381E" w:rsidRPr="001F4C7A" w:rsidRDefault="00E7381E" w:rsidP="00115921">
            <w:pPr>
              <w:keepNext/>
              <w:tabs>
                <w:tab w:val="num" w:pos="0"/>
              </w:tabs>
              <w:snapToGrid w:val="0"/>
              <w:ind w:left="432" w:hanging="432"/>
              <w:jc w:val="center"/>
              <w:outlineLvl w:val="0"/>
              <w:rPr>
                <w:rFonts w:ascii="Arial" w:hAnsi="Arial" w:cs="Arial"/>
                <w:b/>
                <w:sz w:val="22"/>
                <w:szCs w:val="22"/>
                <w:lang w:eastAsia="ar-SA"/>
              </w:rPr>
            </w:pPr>
            <w:r w:rsidRPr="001F4C7A">
              <w:rPr>
                <w:rFonts w:ascii="Arial" w:hAnsi="Arial" w:cs="Arial"/>
                <w:b/>
                <w:sz w:val="22"/>
                <w:szCs w:val="22"/>
                <w:lang w:eastAsia="ar-SA"/>
              </w:rPr>
              <w:t>Dr. Gyergyák Krisztina</w:t>
            </w:r>
          </w:p>
          <w:p w14:paraId="1CB22AC2" w14:textId="77777777" w:rsidR="00E7381E" w:rsidRPr="001F4C7A" w:rsidRDefault="00E7381E" w:rsidP="00115921">
            <w:pPr>
              <w:jc w:val="center"/>
              <w:rPr>
                <w:rFonts w:ascii="Arial" w:hAnsi="Arial" w:cs="Arial"/>
                <w:b/>
                <w:sz w:val="22"/>
                <w:szCs w:val="22"/>
                <w:lang w:eastAsia="ar-SA"/>
              </w:rPr>
            </w:pPr>
            <w:r w:rsidRPr="001F4C7A">
              <w:rPr>
                <w:rFonts w:ascii="Arial" w:hAnsi="Arial" w:cs="Arial"/>
                <w:b/>
                <w:sz w:val="22"/>
                <w:szCs w:val="22"/>
                <w:lang w:eastAsia="ar-SA"/>
              </w:rPr>
              <w:t>jegyző</w:t>
            </w:r>
          </w:p>
        </w:tc>
        <w:tc>
          <w:tcPr>
            <w:tcW w:w="4606" w:type="dxa"/>
            <w:hideMark/>
          </w:tcPr>
          <w:p w14:paraId="19E81454" w14:textId="77777777" w:rsidR="00115921" w:rsidRDefault="00115921" w:rsidP="00115921">
            <w:pPr>
              <w:keepNext/>
              <w:jc w:val="center"/>
              <w:outlineLvl w:val="2"/>
              <w:rPr>
                <w:rFonts w:ascii="Arial" w:hAnsi="Arial" w:cs="Arial"/>
                <w:b/>
                <w:sz w:val="22"/>
                <w:szCs w:val="22"/>
                <w:lang w:eastAsia="ar-SA"/>
              </w:rPr>
            </w:pPr>
          </w:p>
          <w:p w14:paraId="7A1F1895" w14:textId="4C815D60" w:rsidR="00E7381E" w:rsidRPr="001F4C7A" w:rsidRDefault="00E7381E" w:rsidP="00115921">
            <w:pPr>
              <w:keepNext/>
              <w:jc w:val="center"/>
              <w:outlineLvl w:val="2"/>
              <w:rPr>
                <w:rFonts w:ascii="Arial" w:hAnsi="Arial" w:cs="Arial"/>
                <w:b/>
                <w:sz w:val="22"/>
                <w:szCs w:val="22"/>
                <w:lang w:eastAsia="ar-SA"/>
              </w:rPr>
            </w:pPr>
            <w:r w:rsidRPr="001F4C7A">
              <w:rPr>
                <w:rFonts w:ascii="Arial" w:hAnsi="Arial" w:cs="Arial"/>
                <w:b/>
                <w:sz w:val="22"/>
                <w:szCs w:val="22"/>
                <w:lang w:eastAsia="ar-SA"/>
              </w:rPr>
              <w:t>Balogh László</w:t>
            </w:r>
          </w:p>
          <w:p w14:paraId="15FF109B" w14:textId="77777777" w:rsidR="00E7381E" w:rsidRPr="001F4C7A" w:rsidRDefault="00E7381E" w:rsidP="00115921">
            <w:pPr>
              <w:jc w:val="center"/>
              <w:rPr>
                <w:rFonts w:ascii="Arial" w:hAnsi="Arial" w:cs="Arial"/>
                <w:b/>
                <w:sz w:val="22"/>
                <w:szCs w:val="22"/>
                <w:lang w:eastAsia="ar-SA"/>
              </w:rPr>
            </w:pPr>
            <w:r w:rsidRPr="001F4C7A">
              <w:rPr>
                <w:rFonts w:ascii="Arial" w:hAnsi="Arial" w:cs="Arial"/>
                <w:b/>
                <w:sz w:val="22"/>
                <w:szCs w:val="22"/>
                <w:lang w:eastAsia="ar-SA"/>
              </w:rPr>
              <w:t>polgármester</w:t>
            </w:r>
          </w:p>
        </w:tc>
      </w:tr>
    </w:tbl>
    <w:p w14:paraId="6CFFF426" w14:textId="77777777" w:rsidR="00115921" w:rsidRDefault="00115921" w:rsidP="00115921">
      <w:pPr>
        <w:jc w:val="both"/>
        <w:rPr>
          <w:rFonts w:ascii="Arial" w:hAnsi="Arial" w:cs="Arial"/>
          <w:sz w:val="22"/>
          <w:szCs w:val="22"/>
          <w:lang w:eastAsia="ar-SA"/>
        </w:rPr>
      </w:pPr>
    </w:p>
    <w:p w14:paraId="51489061" w14:textId="4DC3D645" w:rsidR="00E7381E" w:rsidRDefault="00E7381E" w:rsidP="00115921">
      <w:pPr>
        <w:jc w:val="both"/>
        <w:rPr>
          <w:rFonts w:ascii="Arial" w:hAnsi="Arial" w:cs="Arial"/>
          <w:sz w:val="22"/>
          <w:szCs w:val="22"/>
          <w:lang w:eastAsia="ar-SA"/>
        </w:rPr>
      </w:pPr>
      <w:r w:rsidRPr="001F4C7A">
        <w:rPr>
          <w:rFonts w:ascii="Arial" w:hAnsi="Arial" w:cs="Arial"/>
          <w:sz w:val="22"/>
          <w:szCs w:val="22"/>
          <w:lang w:eastAsia="ar-SA"/>
        </w:rPr>
        <w:t xml:space="preserve">Kihirdetés napja: 2023. </w:t>
      </w:r>
      <w:r w:rsidR="006F3D19">
        <w:rPr>
          <w:rFonts w:ascii="Arial" w:hAnsi="Arial" w:cs="Arial"/>
          <w:sz w:val="22"/>
          <w:szCs w:val="22"/>
          <w:lang w:eastAsia="ar-SA"/>
        </w:rPr>
        <w:t>szeptember 29.</w:t>
      </w:r>
    </w:p>
    <w:p w14:paraId="1E0C0260" w14:textId="77777777" w:rsidR="00115921" w:rsidRPr="001F4C7A" w:rsidRDefault="00115921" w:rsidP="00115921">
      <w:pPr>
        <w:jc w:val="both"/>
        <w:rPr>
          <w:rFonts w:ascii="Arial" w:hAnsi="Arial" w:cs="Arial"/>
          <w:sz w:val="22"/>
          <w:szCs w:val="22"/>
          <w:lang w:eastAsia="ar-SA"/>
        </w:rPr>
      </w:pPr>
    </w:p>
    <w:p w14:paraId="67D7BCF7" w14:textId="77777777" w:rsidR="00E7381E" w:rsidRPr="001F4C7A" w:rsidRDefault="00E7381E" w:rsidP="00115921">
      <w:pPr>
        <w:jc w:val="both"/>
        <w:rPr>
          <w:rFonts w:ascii="Arial" w:hAnsi="Arial" w:cs="Arial"/>
          <w:b/>
          <w:sz w:val="22"/>
          <w:szCs w:val="22"/>
          <w:lang w:eastAsia="ar-SA"/>
        </w:rPr>
      </w:pP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sz w:val="22"/>
          <w:szCs w:val="22"/>
          <w:lang w:eastAsia="ar-SA"/>
        </w:rPr>
        <w:tab/>
      </w:r>
      <w:r w:rsidRPr="001F4C7A">
        <w:rPr>
          <w:rFonts w:ascii="Arial" w:hAnsi="Arial" w:cs="Arial"/>
          <w:b/>
          <w:sz w:val="22"/>
          <w:szCs w:val="22"/>
          <w:lang w:eastAsia="ar-SA"/>
        </w:rPr>
        <w:t>Dr. Gyergyák Krisztina</w:t>
      </w:r>
    </w:p>
    <w:p w14:paraId="79A08524" w14:textId="324642E7" w:rsidR="00E7381E" w:rsidRPr="00F856E0" w:rsidRDefault="00E7381E" w:rsidP="00115921">
      <w:pPr>
        <w:pStyle w:val="Szvegtrzs"/>
        <w:rPr>
          <w:rFonts w:ascii="Arial" w:hAnsi="Arial" w:cs="Arial"/>
          <w:sz w:val="22"/>
          <w:szCs w:val="22"/>
        </w:rPr>
      </w:pPr>
      <w:r w:rsidRPr="001F4C7A">
        <w:rPr>
          <w:rFonts w:ascii="Arial" w:hAnsi="Arial" w:cs="Arial"/>
          <w:b/>
          <w:sz w:val="22"/>
          <w:szCs w:val="22"/>
          <w:lang w:eastAsia="ar-SA"/>
        </w:rPr>
        <w:t xml:space="preserve">                                                                                </w:t>
      </w:r>
      <w:r w:rsidRPr="001F4C7A">
        <w:rPr>
          <w:rFonts w:ascii="Arial" w:hAnsi="Arial" w:cs="Arial"/>
          <w:b/>
          <w:sz w:val="22"/>
          <w:szCs w:val="22"/>
          <w:lang w:eastAsia="ar-SA"/>
        </w:rPr>
        <w:tab/>
      </w:r>
      <w:r w:rsidRPr="001F4C7A">
        <w:rPr>
          <w:rFonts w:ascii="Arial" w:hAnsi="Arial" w:cs="Arial"/>
          <w:b/>
          <w:sz w:val="22"/>
          <w:szCs w:val="22"/>
          <w:lang w:eastAsia="ar-SA"/>
        </w:rPr>
        <w:tab/>
      </w:r>
      <w:r w:rsidRPr="001F4C7A">
        <w:rPr>
          <w:rFonts w:ascii="Arial" w:hAnsi="Arial" w:cs="Arial"/>
          <w:b/>
          <w:sz w:val="22"/>
          <w:szCs w:val="22"/>
          <w:lang w:eastAsia="ar-SA"/>
        </w:rPr>
        <w:tab/>
        <w:t>jegyző</w:t>
      </w:r>
      <w:r w:rsidRPr="00F856E0">
        <w:rPr>
          <w:rFonts w:ascii="Arial" w:hAnsi="Arial" w:cs="Arial"/>
          <w:sz w:val="22"/>
          <w:szCs w:val="22"/>
        </w:rPr>
        <w:br w:type="page"/>
      </w:r>
    </w:p>
    <w:p w14:paraId="1E20B5C2" w14:textId="6B2CD66C" w:rsidR="00E7381E" w:rsidRPr="00F856E0" w:rsidRDefault="00E7381E" w:rsidP="00E7381E">
      <w:pPr>
        <w:pStyle w:val="Szvegtrzs"/>
        <w:jc w:val="right"/>
        <w:rPr>
          <w:rFonts w:ascii="Arial" w:hAnsi="Arial" w:cs="Arial"/>
          <w:i/>
          <w:iCs/>
          <w:sz w:val="22"/>
          <w:szCs w:val="22"/>
          <w:u w:val="single"/>
        </w:rPr>
      </w:pPr>
      <w:r w:rsidRPr="00F856E0">
        <w:rPr>
          <w:rFonts w:ascii="Arial" w:hAnsi="Arial" w:cs="Arial"/>
          <w:i/>
          <w:iCs/>
          <w:sz w:val="22"/>
          <w:szCs w:val="22"/>
          <w:u w:val="single"/>
        </w:rPr>
        <w:lastRenderedPageBreak/>
        <w:t>1. melléklet a</w:t>
      </w:r>
      <w:r>
        <w:rPr>
          <w:rFonts w:ascii="Arial" w:hAnsi="Arial" w:cs="Arial"/>
          <w:i/>
          <w:iCs/>
          <w:sz w:val="22"/>
          <w:szCs w:val="22"/>
          <w:u w:val="single"/>
          <w:lang w:val="hu-HU"/>
        </w:rPr>
        <w:t xml:space="preserve"> 32</w:t>
      </w:r>
      <w:r w:rsidRPr="00F856E0">
        <w:rPr>
          <w:rFonts w:ascii="Arial" w:hAnsi="Arial" w:cs="Arial"/>
          <w:i/>
          <w:iCs/>
          <w:sz w:val="22"/>
          <w:szCs w:val="22"/>
          <w:u w:val="single"/>
        </w:rPr>
        <w:t>/</w:t>
      </w:r>
      <w:r>
        <w:rPr>
          <w:rFonts w:ascii="Arial" w:hAnsi="Arial" w:cs="Arial"/>
          <w:i/>
          <w:iCs/>
          <w:sz w:val="22"/>
          <w:szCs w:val="22"/>
          <w:u w:val="single"/>
          <w:lang w:val="hu-HU"/>
        </w:rPr>
        <w:t>2023.</w:t>
      </w:r>
      <w:r w:rsidRPr="00F856E0">
        <w:rPr>
          <w:rFonts w:ascii="Arial" w:hAnsi="Arial" w:cs="Arial"/>
          <w:i/>
          <w:iCs/>
          <w:sz w:val="22"/>
          <w:szCs w:val="22"/>
          <w:u w:val="single"/>
        </w:rPr>
        <w:t xml:space="preserve"> (</w:t>
      </w:r>
      <w:r>
        <w:rPr>
          <w:rFonts w:ascii="Arial" w:hAnsi="Arial" w:cs="Arial"/>
          <w:i/>
          <w:iCs/>
          <w:sz w:val="22"/>
          <w:szCs w:val="22"/>
          <w:u w:val="single"/>
          <w:lang w:val="hu-HU"/>
        </w:rPr>
        <w:t>IX.</w:t>
      </w:r>
      <w:r w:rsidR="009E70AD">
        <w:rPr>
          <w:rFonts w:ascii="Arial" w:hAnsi="Arial" w:cs="Arial"/>
          <w:i/>
          <w:iCs/>
          <w:sz w:val="22"/>
          <w:szCs w:val="22"/>
          <w:u w:val="single"/>
          <w:lang w:val="hu-HU"/>
        </w:rPr>
        <w:t xml:space="preserve"> </w:t>
      </w:r>
      <w:r>
        <w:rPr>
          <w:rFonts w:ascii="Arial" w:hAnsi="Arial" w:cs="Arial"/>
          <w:i/>
          <w:iCs/>
          <w:sz w:val="22"/>
          <w:szCs w:val="22"/>
          <w:u w:val="single"/>
          <w:lang w:val="hu-HU"/>
        </w:rPr>
        <w:t>29.</w:t>
      </w:r>
      <w:r w:rsidRPr="00F856E0">
        <w:rPr>
          <w:rFonts w:ascii="Arial" w:hAnsi="Arial" w:cs="Arial"/>
          <w:i/>
          <w:iCs/>
          <w:sz w:val="22"/>
          <w:szCs w:val="22"/>
          <w:u w:val="single"/>
        </w:rPr>
        <w:t>) önkormányzati rendelethez</w:t>
      </w:r>
      <w:r w:rsidR="004724DE">
        <w:rPr>
          <w:rStyle w:val="Lbjegyzet-hivatkozs"/>
          <w:rFonts w:ascii="Arial" w:hAnsi="Arial" w:cs="Arial"/>
          <w:i/>
          <w:iCs/>
          <w:sz w:val="22"/>
          <w:szCs w:val="22"/>
          <w:u w:val="single"/>
        </w:rPr>
        <w:footnoteReference w:id="6"/>
      </w:r>
      <w:r w:rsidR="00F03CA2">
        <w:rPr>
          <w:rFonts w:ascii="Arial" w:hAnsi="Arial" w:cs="Arial"/>
          <w:i/>
          <w:iCs/>
          <w:sz w:val="22"/>
          <w:szCs w:val="22"/>
          <w:u w:val="single"/>
        </w:rPr>
        <w:t xml:space="preserve"> </w:t>
      </w:r>
      <w:r w:rsidR="00F03CA2">
        <w:rPr>
          <w:rStyle w:val="Lbjegyzet-hivatkozs"/>
          <w:rFonts w:ascii="Arial" w:hAnsi="Arial" w:cs="Arial"/>
          <w:i/>
          <w:iCs/>
          <w:sz w:val="22"/>
          <w:szCs w:val="22"/>
          <w:u w:val="single"/>
        </w:rPr>
        <w:footnoteReference w:id="7"/>
      </w:r>
    </w:p>
    <w:p w14:paraId="1D557428" w14:textId="77777777" w:rsidR="003F12EB" w:rsidRPr="00FD22F8" w:rsidRDefault="003F12EB" w:rsidP="003F12EB">
      <w:pPr>
        <w:spacing w:before="100" w:beforeAutospacing="1" w:after="100" w:afterAutospacing="1"/>
        <w:jc w:val="center"/>
        <w:rPr>
          <w:rFonts w:ascii="Arial" w:hAnsi="Arial"/>
          <w:b/>
          <w:bCs/>
          <w:sz w:val="22"/>
          <w:szCs w:val="22"/>
        </w:rPr>
      </w:pPr>
      <w:r w:rsidRPr="00FD22F8">
        <w:rPr>
          <w:rFonts w:ascii="Arial" w:hAnsi="Arial"/>
          <w:b/>
          <w:bCs/>
          <w:sz w:val="22"/>
          <w:szCs w:val="22"/>
        </w:rPr>
        <w:t>Lakbér megállapítása</w:t>
      </w:r>
    </w:p>
    <w:p w14:paraId="7255F6D3" w14:textId="77777777" w:rsidR="003F12EB" w:rsidRPr="00FD22F8" w:rsidRDefault="003F12EB" w:rsidP="003F12EB">
      <w:pPr>
        <w:pStyle w:val="Listaszerbekezds"/>
        <w:numPr>
          <w:ilvl w:val="0"/>
          <w:numId w:val="2"/>
        </w:numPr>
        <w:suppressAutoHyphens w:val="0"/>
        <w:autoSpaceDN/>
        <w:spacing w:before="100" w:beforeAutospacing="1" w:after="100" w:afterAutospacing="1"/>
        <w:ind w:left="426"/>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t>A lakásbérleti díj:</w:t>
      </w:r>
    </w:p>
    <w:p w14:paraId="66EAE3C0"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Önkormányzati tulajdonú lakóingatlan bérleti díja a lakóingatlan alapterülete és a lakás jellemző adatainak figyelembevételével kerül megállapításra. A lakbér megállapításának alapja az egy négyzetméterre jutó korrekció nélküli alap bérleti díj (AD).</w:t>
      </w:r>
    </w:p>
    <w:p w14:paraId="5C303A8E" w14:textId="77777777" w:rsidR="003F12EB" w:rsidRPr="00FD22F8" w:rsidRDefault="003F12EB" w:rsidP="003F12EB">
      <w:pPr>
        <w:spacing w:before="100" w:beforeAutospacing="1" w:after="100" w:afterAutospacing="1"/>
        <w:jc w:val="both"/>
        <w:rPr>
          <w:rFonts w:ascii="Arial" w:hAnsi="Arial"/>
          <w:b/>
          <w:bCs/>
          <w:sz w:val="22"/>
          <w:szCs w:val="22"/>
        </w:rPr>
      </w:pPr>
      <w:r w:rsidRPr="00FD22F8">
        <w:rPr>
          <w:rFonts w:ascii="Arial" w:hAnsi="Arial"/>
          <w:b/>
          <w:bCs/>
          <w:sz w:val="22"/>
          <w:szCs w:val="22"/>
        </w:rPr>
        <w:t>1.1. Bérleti díj meghatározása: </w:t>
      </w:r>
    </w:p>
    <w:p w14:paraId="41433273"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A fizetendő havi bérleti díj (LB) az egy négyzetméter után fizetendő havi bérleti díj (BD) és az ingatlan számított alapterületének (T) szorzata Ft-ra kerekítve.</w:t>
      </w:r>
    </w:p>
    <w:p w14:paraId="49F34FF3"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Az egy négyzetméter után fizetendő bérleti díj (BD) megegyezik az alap bérleti díj (AD) és a lakást jellemző korrekciós tényezők (A, B, C, D, E) szorzatával Ft-ra kerekítve.</w:t>
      </w:r>
    </w:p>
    <w:p w14:paraId="164F05E1" w14:textId="77777777" w:rsidR="003F12EB" w:rsidRPr="00FD22F8" w:rsidRDefault="003F12EB" w:rsidP="003F12EB">
      <w:pPr>
        <w:pStyle w:val="Listaszerbekezds"/>
        <w:numPr>
          <w:ilvl w:val="2"/>
          <w:numId w:val="1"/>
        </w:numPr>
        <w:suppressAutoHyphens w:val="0"/>
        <w:autoSpaceDN/>
        <w:spacing w:before="100" w:beforeAutospacing="1" w:after="100" w:afterAutospacing="1"/>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t>Az egy négyzetméterre jutó korrekció nélküli alap bérleti díj (AD) megállapítása:</w:t>
      </w:r>
    </w:p>
    <w:tbl>
      <w:tblPr>
        <w:tblStyle w:val="Rcsostblzat"/>
        <w:tblpPr w:leftFromText="141" w:rightFromText="141" w:vertAnchor="text" w:horzAnchor="margin" w:tblpY="38"/>
        <w:tblW w:w="0" w:type="auto"/>
        <w:tblLook w:val="04A0" w:firstRow="1" w:lastRow="0" w:firstColumn="1" w:lastColumn="0" w:noHBand="0" w:noVBand="1"/>
      </w:tblPr>
      <w:tblGrid>
        <w:gridCol w:w="4531"/>
        <w:gridCol w:w="4531"/>
      </w:tblGrid>
      <w:tr w:rsidR="003F12EB" w:rsidRPr="00FD22F8" w14:paraId="163B3749" w14:textId="77777777" w:rsidTr="00F0070B">
        <w:tc>
          <w:tcPr>
            <w:tcW w:w="4531" w:type="dxa"/>
          </w:tcPr>
          <w:p w14:paraId="70A15217" w14:textId="77777777" w:rsidR="003F12EB" w:rsidRPr="00FD22F8" w:rsidRDefault="003F12EB" w:rsidP="00F0070B">
            <w:pPr>
              <w:spacing w:before="100" w:beforeAutospacing="1" w:after="100" w:afterAutospacing="1"/>
              <w:jc w:val="both"/>
              <w:rPr>
                <w:rFonts w:ascii="Arial" w:hAnsi="Arial"/>
              </w:rPr>
            </w:pPr>
            <w:r w:rsidRPr="00FD22F8">
              <w:rPr>
                <w:rFonts w:ascii="Arial" w:hAnsi="Arial"/>
              </w:rPr>
              <w:t>alapdíj</w:t>
            </w:r>
          </w:p>
        </w:tc>
        <w:tc>
          <w:tcPr>
            <w:tcW w:w="4531" w:type="dxa"/>
          </w:tcPr>
          <w:p w14:paraId="77D735E3" w14:textId="77777777" w:rsidR="003F12EB" w:rsidRPr="00FD22F8" w:rsidRDefault="003F12EB" w:rsidP="00F0070B">
            <w:pPr>
              <w:spacing w:before="100" w:beforeAutospacing="1" w:after="100" w:afterAutospacing="1"/>
              <w:jc w:val="center"/>
              <w:rPr>
                <w:rFonts w:ascii="Arial" w:hAnsi="Arial"/>
              </w:rPr>
            </w:pPr>
            <w:r w:rsidRPr="00FD22F8">
              <w:rPr>
                <w:rFonts w:ascii="Arial" w:hAnsi="Arial"/>
              </w:rPr>
              <w:t>AD (Ft/m</w:t>
            </w:r>
            <w:r w:rsidRPr="00FD22F8">
              <w:rPr>
                <w:rFonts w:ascii="Arial" w:hAnsi="Arial"/>
                <w:vertAlign w:val="superscript"/>
              </w:rPr>
              <w:t>2</w:t>
            </w:r>
            <w:r w:rsidRPr="00FD22F8">
              <w:rPr>
                <w:rFonts w:ascii="Arial" w:hAnsi="Arial"/>
              </w:rPr>
              <w:t>/hó)</w:t>
            </w:r>
          </w:p>
        </w:tc>
      </w:tr>
      <w:tr w:rsidR="003F12EB" w:rsidRPr="00FD22F8" w14:paraId="78BE730C" w14:textId="77777777" w:rsidTr="00F0070B">
        <w:tc>
          <w:tcPr>
            <w:tcW w:w="4531" w:type="dxa"/>
          </w:tcPr>
          <w:p w14:paraId="78C49BB2" w14:textId="77777777" w:rsidR="003F12EB" w:rsidRPr="00FD22F8" w:rsidRDefault="003F12EB" w:rsidP="00F0070B">
            <w:pPr>
              <w:spacing w:before="100" w:beforeAutospacing="1" w:after="100" w:afterAutospacing="1"/>
              <w:jc w:val="both"/>
              <w:rPr>
                <w:rFonts w:ascii="Arial" w:hAnsi="Arial"/>
              </w:rPr>
            </w:pPr>
            <w:r w:rsidRPr="00FD22F8">
              <w:rPr>
                <w:rFonts w:ascii="Arial" w:hAnsi="Arial"/>
              </w:rPr>
              <w:t>szociális helyzet alapján</w:t>
            </w:r>
          </w:p>
        </w:tc>
        <w:tc>
          <w:tcPr>
            <w:tcW w:w="4531" w:type="dxa"/>
          </w:tcPr>
          <w:p w14:paraId="2995F400" w14:textId="77777777" w:rsidR="003F12EB" w:rsidRPr="00FD22F8" w:rsidRDefault="003F12EB" w:rsidP="00F0070B">
            <w:pPr>
              <w:spacing w:before="100" w:beforeAutospacing="1" w:after="100" w:afterAutospacing="1"/>
              <w:jc w:val="center"/>
              <w:rPr>
                <w:rFonts w:ascii="Arial" w:hAnsi="Arial"/>
              </w:rPr>
            </w:pPr>
            <w:r w:rsidRPr="00FD22F8">
              <w:rPr>
                <w:rFonts w:ascii="Arial" w:hAnsi="Arial"/>
              </w:rPr>
              <w:t>586</w:t>
            </w:r>
          </w:p>
        </w:tc>
      </w:tr>
      <w:tr w:rsidR="003F12EB" w:rsidRPr="00FD22F8" w14:paraId="75834B57" w14:textId="77777777" w:rsidTr="00F0070B">
        <w:tc>
          <w:tcPr>
            <w:tcW w:w="4531" w:type="dxa"/>
          </w:tcPr>
          <w:p w14:paraId="3D508567" w14:textId="77777777" w:rsidR="003F12EB" w:rsidRPr="00FD22F8" w:rsidRDefault="003F12EB" w:rsidP="00F0070B">
            <w:pPr>
              <w:spacing w:before="100" w:beforeAutospacing="1" w:after="100" w:afterAutospacing="1"/>
              <w:jc w:val="both"/>
              <w:rPr>
                <w:rFonts w:ascii="Arial" w:hAnsi="Arial"/>
              </w:rPr>
            </w:pPr>
            <w:r w:rsidRPr="00FD22F8">
              <w:rPr>
                <w:rFonts w:ascii="Arial" w:hAnsi="Arial"/>
              </w:rPr>
              <w:t>költségelvű</w:t>
            </w:r>
          </w:p>
        </w:tc>
        <w:tc>
          <w:tcPr>
            <w:tcW w:w="4531" w:type="dxa"/>
          </w:tcPr>
          <w:p w14:paraId="551A8593" w14:textId="77777777" w:rsidR="003F12EB" w:rsidRPr="00FD22F8" w:rsidRDefault="003F12EB" w:rsidP="00F0070B">
            <w:pPr>
              <w:spacing w:before="100" w:beforeAutospacing="1" w:after="100" w:afterAutospacing="1"/>
              <w:jc w:val="center"/>
              <w:rPr>
                <w:rFonts w:ascii="Arial" w:hAnsi="Arial"/>
              </w:rPr>
            </w:pPr>
            <w:r w:rsidRPr="00FD22F8">
              <w:rPr>
                <w:rFonts w:ascii="Arial" w:hAnsi="Arial"/>
              </w:rPr>
              <w:t>1 011</w:t>
            </w:r>
          </w:p>
        </w:tc>
      </w:tr>
      <w:tr w:rsidR="003F12EB" w:rsidRPr="00FD22F8" w14:paraId="42F77A9C" w14:textId="77777777" w:rsidTr="00F0070B">
        <w:tc>
          <w:tcPr>
            <w:tcW w:w="4531" w:type="dxa"/>
          </w:tcPr>
          <w:p w14:paraId="48EE3ADF" w14:textId="77777777" w:rsidR="003F12EB" w:rsidRPr="00FD22F8" w:rsidRDefault="003F12EB" w:rsidP="00F0070B">
            <w:pPr>
              <w:spacing w:before="100" w:beforeAutospacing="1" w:after="100" w:afterAutospacing="1"/>
              <w:jc w:val="both"/>
              <w:rPr>
                <w:rFonts w:ascii="Arial" w:hAnsi="Arial"/>
              </w:rPr>
            </w:pPr>
            <w:r w:rsidRPr="00FD22F8">
              <w:rPr>
                <w:rFonts w:ascii="Arial" w:hAnsi="Arial"/>
              </w:rPr>
              <w:t>piaci elvű</w:t>
            </w:r>
          </w:p>
        </w:tc>
        <w:tc>
          <w:tcPr>
            <w:tcW w:w="4531" w:type="dxa"/>
          </w:tcPr>
          <w:p w14:paraId="765556FF" w14:textId="77777777" w:rsidR="003F12EB" w:rsidRPr="00FD22F8" w:rsidRDefault="003F12EB" w:rsidP="00F0070B">
            <w:pPr>
              <w:spacing w:before="100" w:beforeAutospacing="1" w:after="100" w:afterAutospacing="1"/>
              <w:jc w:val="center"/>
              <w:rPr>
                <w:rFonts w:ascii="Arial" w:hAnsi="Arial"/>
              </w:rPr>
            </w:pPr>
            <w:r w:rsidRPr="00FD22F8">
              <w:rPr>
                <w:rFonts w:ascii="Arial" w:hAnsi="Arial"/>
              </w:rPr>
              <w:t>a költségelvű 200 %-a</w:t>
            </w:r>
          </w:p>
        </w:tc>
      </w:tr>
    </w:tbl>
    <w:p w14:paraId="2B2783D2" w14:textId="77777777" w:rsidR="003F12EB" w:rsidRPr="00FD22F8" w:rsidRDefault="003F12EB" w:rsidP="003F12EB">
      <w:pPr>
        <w:spacing w:before="100" w:beforeAutospacing="1" w:after="100" w:afterAutospacing="1"/>
        <w:jc w:val="both"/>
        <w:rPr>
          <w:rFonts w:ascii="Arial" w:hAnsi="Arial"/>
          <w:sz w:val="22"/>
          <w:szCs w:val="22"/>
        </w:rPr>
      </w:pPr>
    </w:p>
    <w:p w14:paraId="25F8DE44" w14:textId="77777777" w:rsidR="003F12EB" w:rsidRPr="00FD22F8" w:rsidRDefault="003F12EB" w:rsidP="003F12EB">
      <w:pPr>
        <w:pStyle w:val="Listaszerbekezds"/>
        <w:numPr>
          <w:ilvl w:val="2"/>
          <w:numId w:val="1"/>
        </w:numPr>
        <w:suppressAutoHyphens w:val="0"/>
        <w:autoSpaceDN/>
        <w:spacing w:before="100" w:beforeAutospacing="1" w:after="100" w:afterAutospacing="1"/>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t>Az egy négyzetméter után fizetendő bérleti díj (BD) kiszámítása:</w:t>
      </w:r>
    </w:p>
    <w:p w14:paraId="57739B69"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Az egy négyzetméter után fizetendő bérleti díj (BD) számításakor az egy négyzetméterre jutó korrekció nélküli alap bérleti díjat (AD) meg kell szorozni a korrekciós tényezőkkel (A x B x C x D x E) (Ft/m</w:t>
      </w:r>
      <w:r w:rsidRPr="00FD22F8">
        <w:rPr>
          <w:rFonts w:ascii="Arial" w:hAnsi="Arial"/>
          <w:sz w:val="22"/>
          <w:szCs w:val="22"/>
          <w:vertAlign w:val="superscript"/>
        </w:rPr>
        <w:t>2</w:t>
      </w:r>
      <w:r w:rsidRPr="00FD22F8">
        <w:rPr>
          <w:rFonts w:ascii="Arial" w:hAnsi="Arial"/>
          <w:sz w:val="22"/>
          <w:szCs w:val="22"/>
        </w:rPr>
        <w:t>/hó) (Ft-ra kerekítve)</w:t>
      </w:r>
    </w:p>
    <w:p w14:paraId="091DFAA4"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Az egyes korrekciós tényezők a következő paraméterekből adódó különbségeket kompenzálják:</w:t>
      </w:r>
    </w:p>
    <w:p w14:paraId="5E2523D8"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A: Az ingatlan városon belüli elhelyezkedése</w:t>
      </w:r>
    </w:p>
    <w:p w14:paraId="51DCED22"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B: Lakás lakóépületen belüli elhelyezkedése</w:t>
      </w:r>
    </w:p>
    <w:p w14:paraId="23821F20"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C: Komfortfokozat</w:t>
      </w:r>
    </w:p>
    <w:p w14:paraId="51F0C612"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D: A lakás műszaki, minőségi jellemzői</w:t>
      </w:r>
    </w:p>
    <w:p w14:paraId="1CEB8A44"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E: A lakást magába foglaló épület műszaki állapota</w:t>
      </w:r>
    </w:p>
    <w:p w14:paraId="1324117F" w14:textId="77777777" w:rsidR="003F12EB" w:rsidRPr="00FD22F8" w:rsidRDefault="003F12EB" w:rsidP="003F12EB">
      <w:pPr>
        <w:pStyle w:val="Listaszerbekezds"/>
        <w:numPr>
          <w:ilvl w:val="2"/>
          <w:numId w:val="1"/>
        </w:numPr>
        <w:suppressAutoHyphens w:val="0"/>
        <w:autoSpaceDN/>
        <w:spacing w:before="100" w:beforeAutospacing="1" w:after="100" w:afterAutospacing="1"/>
        <w:contextualSpacing/>
        <w:jc w:val="both"/>
        <w:textAlignment w:val="auto"/>
        <w:rPr>
          <w:rFonts w:ascii="Arial" w:hAnsi="Arial"/>
          <w:kern w:val="0"/>
          <w:sz w:val="22"/>
          <w:szCs w:val="22"/>
          <w:lang w:eastAsia="hu-HU"/>
        </w:rPr>
      </w:pPr>
      <w:r w:rsidRPr="00FD22F8">
        <w:rPr>
          <w:rFonts w:ascii="Arial" w:hAnsi="Arial"/>
          <w:b/>
          <w:bCs/>
          <w:kern w:val="0"/>
          <w:sz w:val="22"/>
          <w:szCs w:val="22"/>
          <w:lang w:eastAsia="hu-HU"/>
        </w:rPr>
        <w:t>Korrekciós tényezők</w:t>
      </w:r>
    </w:p>
    <w:p w14:paraId="69BFF0DA" w14:textId="77777777" w:rsidR="003F12EB" w:rsidRPr="00FD22F8" w:rsidRDefault="003F12EB" w:rsidP="003F12EB">
      <w:pPr>
        <w:pStyle w:val="Listaszerbekezds"/>
        <w:spacing w:before="100" w:beforeAutospacing="1" w:after="120"/>
        <w:ind w:left="539"/>
        <w:jc w:val="both"/>
        <w:rPr>
          <w:rFonts w:ascii="Arial" w:hAnsi="Arial"/>
          <w:kern w:val="0"/>
          <w:sz w:val="22"/>
          <w:szCs w:val="22"/>
          <w:lang w:eastAsia="hu-HU"/>
        </w:rPr>
      </w:pPr>
      <w:r w:rsidRPr="00FD22F8">
        <w:rPr>
          <w:rFonts w:ascii="Arial" w:hAnsi="Arial"/>
          <w:kern w:val="0"/>
          <w:sz w:val="22"/>
          <w:szCs w:val="22"/>
          <w:lang w:eastAsia="hu-HU"/>
        </w:rPr>
        <w:t>A lakás jellemző paraméterei, úgymint az ingatlan városon belüli elhelyezkedése, a lakás lakóépületen belüli elhelyezkedése adott, míg a komfortfokozat, valamint a lakás műszaki, minőségi jellemzői, a lakást magába foglaló épület műszaki állapota a bérbeadás ideje alatt változhat.</w:t>
      </w:r>
    </w:p>
    <w:p w14:paraId="54D8E4F8" w14:textId="77777777" w:rsidR="003F12EB" w:rsidRPr="00FD22F8" w:rsidRDefault="003F12EB" w:rsidP="003F12EB">
      <w:pPr>
        <w:pStyle w:val="Listaszerbekezds"/>
        <w:numPr>
          <w:ilvl w:val="0"/>
          <w:numId w:val="3"/>
        </w:numPr>
        <w:suppressAutoHyphens w:val="0"/>
        <w:autoSpaceDN/>
        <w:spacing w:before="240" w:after="100" w:afterAutospacing="1"/>
        <w:ind w:left="425" w:hanging="357"/>
        <w:contextualSpacing/>
        <w:jc w:val="both"/>
        <w:textAlignment w:val="auto"/>
        <w:rPr>
          <w:rFonts w:ascii="Arial" w:hAnsi="Arial"/>
          <w:kern w:val="0"/>
          <w:sz w:val="22"/>
          <w:szCs w:val="22"/>
          <w:lang w:eastAsia="hu-HU"/>
        </w:rPr>
      </w:pPr>
      <w:r w:rsidRPr="00FD22F8">
        <w:rPr>
          <w:rFonts w:ascii="Arial" w:hAnsi="Arial"/>
          <w:b/>
          <w:bCs/>
          <w:kern w:val="0"/>
          <w:sz w:val="22"/>
          <w:szCs w:val="22"/>
          <w:lang w:eastAsia="hu-HU"/>
        </w:rPr>
        <w:lastRenderedPageBreak/>
        <w:t>Korrekciós tényező: A</w:t>
      </w:r>
    </w:p>
    <w:tbl>
      <w:tblPr>
        <w:tblW w:w="9348" w:type="dxa"/>
        <w:tblCellMar>
          <w:top w:w="15" w:type="dxa"/>
          <w:left w:w="15" w:type="dxa"/>
          <w:bottom w:w="15" w:type="dxa"/>
          <w:right w:w="15" w:type="dxa"/>
        </w:tblCellMar>
        <w:tblLook w:val="04A0" w:firstRow="1" w:lastRow="0" w:firstColumn="1" w:lastColumn="0" w:noHBand="0" w:noVBand="1"/>
      </w:tblPr>
      <w:tblGrid>
        <w:gridCol w:w="827"/>
        <w:gridCol w:w="7103"/>
        <w:gridCol w:w="1418"/>
      </w:tblGrid>
      <w:tr w:rsidR="003F12EB" w:rsidRPr="00FD22F8" w14:paraId="73B302D3"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D4EC77" w14:textId="77777777" w:rsidR="003F12EB" w:rsidRPr="00FD22F8" w:rsidRDefault="003F12EB" w:rsidP="00F0070B">
            <w:pPr>
              <w:spacing w:before="100" w:beforeAutospacing="1" w:after="20"/>
              <w:ind w:firstLine="180"/>
              <w:jc w:val="both"/>
              <w:rPr>
                <w:rFonts w:ascii="Arial" w:hAnsi="Arial"/>
                <w:sz w:val="22"/>
                <w:szCs w:val="22"/>
              </w:rPr>
            </w:pPr>
          </w:p>
        </w:tc>
        <w:tc>
          <w:tcPr>
            <w:tcW w:w="71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805A10" w14:textId="77777777" w:rsidR="003F12EB" w:rsidRPr="00FD22F8" w:rsidRDefault="003F12EB" w:rsidP="00F0070B">
            <w:pPr>
              <w:spacing w:after="20"/>
              <w:ind w:firstLine="180"/>
              <w:jc w:val="both"/>
              <w:rPr>
                <w:rFonts w:ascii="Arial" w:hAnsi="Arial"/>
                <w:sz w:val="22"/>
                <w:szCs w:val="22"/>
              </w:rPr>
            </w:pPr>
            <w:r w:rsidRPr="00FD22F8">
              <w:rPr>
                <w:rFonts w:ascii="Arial" w:hAnsi="Arial"/>
                <w:b/>
                <w:bCs/>
                <w:sz w:val="22"/>
                <w:szCs w:val="22"/>
              </w:rPr>
              <w:t>Az ingatlan városon belüli elhelyezkedése</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0BE091" w14:textId="77777777" w:rsidR="003F12EB" w:rsidRPr="00FD22F8" w:rsidRDefault="003F12EB" w:rsidP="00F0070B">
            <w:pPr>
              <w:spacing w:after="20"/>
              <w:jc w:val="both"/>
              <w:rPr>
                <w:rFonts w:ascii="Arial" w:hAnsi="Arial"/>
                <w:sz w:val="22"/>
                <w:szCs w:val="22"/>
              </w:rPr>
            </w:pPr>
            <w:r w:rsidRPr="00FD22F8">
              <w:rPr>
                <w:rFonts w:ascii="Arial" w:hAnsi="Arial"/>
                <w:b/>
                <w:bCs/>
                <w:sz w:val="22"/>
                <w:szCs w:val="22"/>
              </w:rPr>
              <w:t>Korrekciós tényező mértéke</w:t>
            </w:r>
          </w:p>
        </w:tc>
      </w:tr>
      <w:tr w:rsidR="003F12EB" w:rsidRPr="00FD22F8" w14:paraId="289623D6"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8044ED"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1</w:t>
            </w:r>
          </w:p>
        </w:tc>
        <w:tc>
          <w:tcPr>
            <w:tcW w:w="7103" w:type="dxa"/>
            <w:tcBorders>
              <w:top w:val="single" w:sz="6" w:space="0" w:color="auto"/>
              <w:left w:val="single" w:sz="6" w:space="0" w:color="auto"/>
              <w:bottom w:val="single" w:sz="6" w:space="0" w:color="auto"/>
              <w:right w:val="single" w:sz="6" w:space="0" w:color="auto"/>
            </w:tcBorders>
            <w:tcMar>
              <w:top w:w="0" w:type="dxa"/>
              <w:left w:w="57" w:type="dxa"/>
              <w:bottom w:w="0" w:type="dxa"/>
              <w:right w:w="28" w:type="dxa"/>
            </w:tcMar>
            <w:hideMark/>
          </w:tcPr>
          <w:p w14:paraId="14E0FDB6" w14:textId="77777777" w:rsidR="003F12EB" w:rsidRPr="00FD22F8" w:rsidRDefault="003F12EB" w:rsidP="00F0070B">
            <w:pPr>
              <w:spacing w:before="100" w:beforeAutospacing="1" w:after="20"/>
              <w:ind w:right="297"/>
              <w:jc w:val="both"/>
              <w:rPr>
                <w:rFonts w:ascii="Arial" w:hAnsi="Arial"/>
                <w:sz w:val="22"/>
                <w:szCs w:val="22"/>
              </w:rPr>
            </w:pPr>
            <w:r w:rsidRPr="00FD22F8">
              <w:rPr>
                <w:rFonts w:ascii="Arial" w:hAnsi="Arial"/>
                <w:b/>
                <w:bCs/>
                <w:sz w:val="22"/>
                <w:szCs w:val="22"/>
              </w:rPr>
              <w:t>belváros és egyéb terület</w:t>
            </w:r>
            <w:r w:rsidRPr="00FD22F8">
              <w:rPr>
                <w:rFonts w:ascii="Arial" w:hAnsi="Arial"/>
                <w:sz w:val="22"/>
                <w:szCs w:val="22"/>
              </w:rPr>
              <w:t>: a Kalmár u., Magyar u., Dózsa György u., Hevesi Sándor u., Balatoni u., Péterfai u., Városkapu krt., Munkás u., Táborhely u., Hevesi Sándor u., Teleki u., Kórház u., Kossuth Lajos tér, Kisfaludy Sándor u., Ady Endre u., Zárda u., Zrínyi Miklós u. által körül határolt terület, illetve a határoló utcák érintett szakaszai mindkét oldalon</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71D8C8"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1,00</w:t>
            </w:r>
          </w:p>
        </w:tc>
      </w:tr>
      <w:tr w:rsidR="003F12EB" w:rsidRPr="00FD22F8" w14:paraId="562E1EFB"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E97E8B"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2</w:t>
            </w:r>
          </w:p>
        </w:tc>
        <w:tc>
          <w:tcPr>
            <w:tcW w:w="7103" w:type="dxa"/>
            <w:tcBorders>
              <w:top w:val="single" w:sz="6" w:space="0" w:color="auto"/>
              <w:left w:val="single" w:sz="6" w:space="0" w:color="auto"/>
              <w:bottom w:val="single" w:sz="6" w:space="0" w:color="auto"/>
              <w:right w:val="single" w:sz="6" w:space="0" w:color="auto"/>
            </w:tcBorders>
            <w:tcMar>
              <w:top w:w="0" w:type="dxa"/>
              <w:left w:w="57" w:type="dxa"/>
              <w:bottom w:w="0" w:type="dxa"/>
              <w:right w:w="28" w:type="dxa"/>
            </w:tcMar>
            <w:hideMark/>
          </w:tcPr>
          <w:p w14:paraId="72A85E01" w14:textId="77777777" w:rsidR="003F12EB" w:rsidRPr="00FD22F8" w:rsidRDefault="003F12EB" w:rsidP="00F0070B">
            <w:pPr>
              <w:spacing w:before="100" w:beforeAutospacing="1" w:after="20"/>
              <w:ind w:right="297"/>
              <w:jc w:val="both"/>
              <w:rPr>
                <w:rFonts w:ascii="Arial" w:hAnsi="Arial"/>
                <w:sz w:val="22"/>
                <w:szCs w:val="22"/>
              </w:rPr>
            </w:pPr>
            <w:r w:rsidRPr="00FD22F8">
              <w:rPr>
                <w:rFonts w:ascii="Arial" w:hAnsi="Arial"/>
                <w:b/>
                <w:bCs/>
                <w:sz w:val="22"/>
                <w:szCs w:val="22"/>
              </w:rPr>
              <w:t>városi terület:</w:t>
            </w:r>
            <w:r w:rsidRPr="00FD22F8">
              <w:rPr>
                <w:rFonts w:ascii="Arial" w:hAnsi="Arial"/>
                <w:sz w:val="22"/>
                <w:szCs w:val="22"/>
              </w:rPr>
              <w:t xml:space="preserve"> Nagykanizsa Megyei Jogú Város teljes közigazgatási területe, kivétel belváros és egyéb területek, illetve peremterület</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2B3F74"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0,85</w:t>
            </w:r>
          </w:p>
        </w:tc>
      </w:tr>
      <w:tr w:rsidR="003F12EB" w:rsidRPr="00FD22F8" w14:paraId="6F52969D"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6754DB"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3</w:t>
            </w:r>
          </w:p>
        </w:tc>
        <w:tc>
          <w:tcPr>
            <w:tcW w:w="7103" w:type="dxa"/>
            <w:tcBorders>
              <w:top w:val="single" w:sz="6" w:space="0" w:color="auto"/>
              <w:left w:val="single" w:sz="6" w:space="0" w:color="auto"/>
              <w:bottom w:val="single" w:sz="6" w:space="0" w:color="auto"/>
              <w:right w:val="single" w:sz="6" w:space="0" w:color="auto"/>
            </w:tcBorders>
            <w:tcMar>
              <w:top w:w="0" w:type="dxa"/>
              <w:left w:w="57" w:type="dxa"/>
              <w:bottom w:w="0" w:type="dxa"/>
              <w:right w:w="28" w:type="dxa"/>
            </w:tcMar>
            <w:hideMark/>
          </w:tcPr>
          <w:p w14:paraId="112F2EF4" w14:textId="77777777" w:rsidR="003F12EB" w:rsidRPr="00FD22F8" w:rsidRDefault="003F12EB" w:rsidP="00F0070B">
            <w:pPr>
              <w:spacing w:before="100" w:beforeAutospacing="1" w:after="20"/>
              <w:ind w:right="297"/>
              <w:jc w:val="both"/>
              <w:rPr>
                <w:rFonts w:ascii="Arial" w:hAnsi="Arial"/>
                <w:sz w:val="22"/>
                <w:szCs w:val="22"/>
              </w:rPr>
            </w:pPr>
            <w:r w:rsidRPr="00FD22F8">
              <w:rPr>
                <w:rFonts w:ascii="Arial" w:hAnsi="Arial"/>
                <w:b/>
                <w:bCs/>
                <w:sz w:val="22"/>
                <w:szCs w:val="22"/>
              </w:rPr>
              <w:t>peremterület:</w:t>
            </w:r>
            <w:r w:rsidRPr="00FD22F8">
              <w:rPr>
                <w:rFonts w:ascii="Arial" w:hAnsi="Arial"/>
                <w:sz w:val="22"/>
                <w:szCs w:val="22"/>
              </w:rPr>
              <w:t xml:space="preserve"> Bajcsa, Bagola, Korpavár, Kisfakos, Nagyfakos, a Csengery u. Erdész utcától délre eső szakasza, Miklósfa, Palin továbbá Nagykanizsa Megyei Jogú Város teljes közigazgatási területén lévő zártkertek</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28EE80"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0,70</w:t>
            </w:r>
          </w:p>
        </w:tc>
      </w:tr>
    </w:tbl>
    <w:p w14:paraId="4E68F760" w14:textId="77777777" w:rsidR="003F12EB" w:rsidRPr="00FD22F8" w:rsidRDefault="003F12EB" w:rsidP="003F12EB">
      <w:pPr>
        <w:pStyle w:val="Listaszerbekezds"/>
        <w:numPr>
          <w:ilvl w:val="0"/>
          <w:numId w:val="3"/>
        </w:numPr>
        <w:suppressAutoHyphens w:val="0"/>
        <w:autoSpaceDN/>
        <w:spacing w:before="100" w:beforeAutospacing="1" w:after="100" w:afterAutospacing="1"/>
        <w:ind w:left="426"/>
        <w:contextualSpacing/>
        <w:jc w:val="both"/>
        <w:textAlignment w:val="auto"/>
        <w:rPr>
          <w:rFonts w:ascii="Arial" w:hAnsi="Arial"/>
          <w:kern w:val="0"/>
          <w:sz w:val="22"/>
          <w:szCs w:val="22"/>
          <w:lang w:eastAsia="hu-HU"/>
        </w:rPr>
      </w:pPr>
      <w:r w:rsidRPr="00FD22F8">
        <w:rPr>
          <w:rFonts w:ascii="Arial" w:hAnsi="Arial"/>
          <w:b/>
          <w:bCs/>
          <w:kern w:val="0"/>
          <w:sz w:val="22"/>
          <w:szCs w:val="22"/>
          <w:lang w:eastAsia="hu-HU"/>
        </w:rPr>
        <w:t>Korrekciós tényező: B</w:t>
      </w:r>
    </w:p>
    <w:tbl>
      <w:tblPr>
        <w:tblW w:w="9367" w:type="dxa"/>
        <w:tblCellMar>
          <w:top w:w="15" w:type="dxa"/>
          <w:left w:w="15" w:type="dxa"/>
          <w:bottom w:w="15" w:type="dxa"/>
          <w:right w:w="15" w:type="dxa"/>
        </w:tblCellMar>
        <w:tblLook w:val="04A0" w:firstRow="1" w:lastRow="0" w:firstColumn="1" w:lastColumn="0" w:noHBand="0" w:noVBand="1"/>
      </w:tblPr>
      <w:tblGrid>
        <w:gridCol w:w="827"/>
        <w:gridCol w:w="7119"/>
        <w:gridCol w:w="1421"/>
      </w:tblGrid>
      <w:tr w:rsidR="003F12EB" w:rsidRPr="00FD22F8" w14:paraId="1FAA1DA4"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E6FEE9" w14:textId="77777777" w:rsidR="003F12EB" w:rsidRPr="00FD22F8" w:rsidRDefault="003F12EB" w:rsidP="00F0070B">
            <w:pPr>
              <w:spacing w:before="100" w:beforeAutospacing="1" w:after="20"/>
              <w:ind w:firstLine="180"/>
              <w:jc w:val="both"/>
              <w:rPr>
                <w:rFonts w:ascii="Arial" w:hAnsi="Arial"/>
                <w:sz w:val="22"/>
                <w:szCs w:val="22"/>
              </w:rPr>
            </w:pPr>
          </w:p>
        </w:tc>
        <w:tc>
          <w:tcPr>
            <w:tcW w:w="711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CDECBC" w14:textId="77777777" w:rsidR="003F12EB" w:rsidRPr="00FD22F8" w:rsidRDefault="003F12EB" w:rsidP="00F0070B">
            <w:pPr>
              <w:spacing w:after="20"/>
              <w:ind w:firstLine="180"/>
              <w:jc w:val="both"/>
              <w:rPr>
                <w:rFonts w:ascii="Arial" w:hAnsi="Arial"/>
                <w:sz w:val="22"/>
                <w:szCs w:val="22"/>
              </w:rPr>
            </w:pPr>
            <w:r w:rsidRPr="00FD22F8">
              <w:rPr>
                <w:rFonts w:ascii="Arial" w:hAnsi="Arial"/>
                <w:b/>
                <w:bCs/>
                <w:sz w:val="22"/>
                <w:szCs w:val="22"/>
              </w:rPr>
              <w:t>Lakás lakóépületen belüli elhelyezkedése</w:t>
            </w:r>
          </w:p>
        </w:tc>
        <w:tc>
          <w:tcPr>
            <w:tcW w:w="14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FFDC10" w14:textId="77777777" w:rsidR="003F12EB" w:rsidRPr="00FD22F8" w:rsidRDefault="003F12EB" w:rsidP="00F0070B">
            <w:pPr>
              <w:spacing w:after="20"/>
              <w:jc w:val="both"/>
              <w:rPr>
                <w:rFonts w:ascii="Arial" w:hAnsi="Arial"/>
                <w:sz w:val="22"/>
                <w:szCs w:val="22"/>
              </w:rPr>
            </w:pPr>
            <w:r w:rsidRPr="00FD22F8">
              <w:rPr>
                <w:rFonts w:ascii="Arial" w:hAnsi="Arial"/>
                <w:b/>
                <w:bCs/>
                <w:sz w:val="22"/>
                <w:szCs w:val="22"/>
              </w:rPr>
              <w:t>Korrekciós tényező értéke</w:t>
            </w:r>
          </w:p>
        </w:tc>
      </w:tr>
      <w:tr w:rsidR="003F12EB" w:rsidRPr="00FD22F8" w14:paraId="0AB4D10A"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3FEF86"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1</w:t>
            </w:r>
          </w:p>
        </w:tc>
        <w:tc>
          <w:tcPr>
            <w:tcW w:w="711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4C472"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udvari lakás, földszint, I-II. emelet (ha nincs fölötte lakás)</w:t>
            </w:r>
          </w:p>
        </w:tc>
        <w:tc>
          <w:tcPr>
            <w:tcW w:w="14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80F7F2"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1,00</w:t>
            </w:r>
          </w:p>
        </w:tc>
      </w:tr>
      <w:tr w:rsidR="003F12EB" w:rsidRPr="00FD22F8" w14:paraId="07184443"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4231B"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2</w:t>
            </w:r>
          </w:p>
        </w:tc>
        <w:tc>
          <w:tcPr>
            <w:tcW w:w="711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839EAB" w14:textId="77777777" w:rsidR="003F12EB" w:rsidRPr="00FD22F8" w:rsidRDefault="003F12EB" w:rsidP="00F0070B">
            <w:pPr>
              <w:spacing w:after="20"/>
              <w:ind w:right="-18" w:firstLine="180"/>
              <w:jc w:val="both"/>
              <w:rPr>
                <w:rFonts w:ascii="Arial" w:hAnsi="Arial"/>
                <w:sz w:val="22"/>
                <w:szCs w:val="22"/>
              </w:rPr>
            </w:pPr>
            <w:r w:rsidRPr="00FD22F8">
              <w:rPr>
                <w:rFonts w:ascii="Arial" w:hAnsi="Arial"/>
                <w:sz w:val="22"/>
                <w:szCs w:val="22"/>
              </w:rPr>
              <w:t>I-II. emelet, ha van fölötte lakás</w:t>
            </w:r>
          </w:p>
        </w:tc>
        <w:tc>
          <w:tcPr>
            <w:tcW w:w="14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6AFA7C"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1,05</w:t>
            </w:r>
          </w:p>
        </w:tc>
      </w:tr>
      <w:tr w:rsidR="003F12EB" w:rsidRPr="00FD22F8" w14:paraId="2D6278A1"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FF7051"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3</w:t>
            </w:r>
          </w:p>
        </w:tc>
        <w:tc>
          <w:tcPr>
            <w:tcW w:w="711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84B330"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lifttel nem rendelkező épület III. és IV. emelete</w:t>
            </w:r>
          </w:p>
        </w:tc>
        <w:tc>
          <w:tcPr>
            <w:tcW w:w="14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DAF129"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0,95</w:t>
            </w:r>
          </w:p>
        </w:tc>
      </w:tr>
      <w:tr w:rsidR="003F12EB" w:rsidRPr="00FD22F8" w14:paraId="2F4A8017" w14:textId="77777777" w:rsidTr="00F0070B">
        <w:tc>
          <w:tcPr>
            <w:tcW w:w="82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BA7DF3"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4</w:t>
            </w:r>
          </w:p>
        </w:tc>
        <w:tc>
          <w:tcPr>
            <w:tcW w:w="711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7E955D"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lifttel rendelkező épület II. emelet felett</w:t>
            </w:r>
          </w:p>
        </w:tc>
        <w:tc>
          <w:tcPr>
            <w:tcW w:w="14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34F290"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0,95</w:t>
            </w:r>
          </w:p>
        </w:tc>
      </w:tr>
    </w:tbl>
    <w:p w14:paraId="5820BCE8" w14:textId="77777777" w:rsidR="003F12EB" w:rsidRPr="00FD22F8" w:rsidRDefault="003F12EB" w:rsidP="003F12EB">
      <w:pPr>
        <w:pStyle w:val="Listaszerbekezds"/>
        <w:numPr>
          <w:ilvl w:val="0"/>
          <w:numId w:val="3"/>
        </w:numPr>
        <w:suppressAutoHyphens w:val="0"/>
        <w:autoSpaceDN/>
        <w:spacing w:before="100" w:beforeAutospacing="1" w:after="100" w:afterAutospacing="1"/>
        <w:ind w:left="426"/>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t>Korrekciós tényező: C</w:t>
      </w:r>
    </w:p>
    <w:tbl>
      <w:tblPr>
        <w:tblW w:w="9364" w:type="dxa"/>
        <w:tblCellMar>
          <w:top w:w="15" w:type="dxa"/>
          <w:left w:w="15" w:type="dxa"/>
          <w:bottom w:w="15" w:type="dxa"/>
          <w:right w:w="15" w:type="dxa"/>
        </w:tblCellMar>
        <w:tblLook w:val="04A0" w:firstRow="1" w:lastRow="0" w:firstColumn="1" w:lastColumn="0" w:noHBand="0" w:noVBand="1"/>
      </w:tblPr>
      <w:tblGrid>
        <w:gridCol w:w="783"/>
        <w:gridCol w:w="7163"/>
        <w:gridCol w:w="1418"/>
      </w:tblGrid>
      <w:tr w:rsidR="003F12EB" w:rsidRPr="00FD22F8" w14:paraId="4C5A621D" w14:textId="77777777" w:rsidTr="00F0070B">
        <w:tc>
          <w:tcPr>
            <w:tcW w:w="78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FC0637" w14:textId="77777777" w:rsidR="003F12EB" w:rsidRPr="00FD22F8" w:rsidRDefault="003F12EB" w:rsidP="00F0070B">
            <w:pPr>
              <w:spacing w:before="100" w:beforeAutospacing="1" w:after="20"/>
              <w:ind w:firstLine="180"/>
              <w:jc w:val="both"/>
              <w:rPr>
                <w:rFonts w:ascii="Arial" w:hAnsi="Arial"/>
                <w:sz w:val="22"/>
                <w:szCs w:val="22"/>
              </w:rPr>
            </w:pPr>
          </w:p>
        </w:tc>
        <w:tc>
          <w:tcPr>
            <w:tcW w:w="71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876870" w14:textId="77777777" w:rsidR="003F12EB" w:rsidRPr="00FD22F8" w:rsidRDefault="003F12EB" w:rsidP="00F0070B">
            <w:pPr>
              <w:spacing w:after="20"/>
              <w:ind w:firstLine="180"/>
              <w:jc w:val="both"/>
              <w:rPr>
                <w:rFonts w:ascii="Arial" w:hAnsi="Arial"/>
                <w:sz w:val="22"/>
                <w:szCs w:val="22"/>
              </w:rPr>
            </w:pPr>
            <w:r w:rsidRPr="00FD22F8">
              <w:rPr>
                <w:rFonts w:ascii="Arial" w:hAnsi="Arial"/>
                <w:b/>
                <w:bCs/>
                <w:sz w:val="22"/>
                <w:szCs w:val="22"/>
              </w:rPr>
              <w:t>Komfortfokozat</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BE5F4A" w14:textId="77777777" w:rsidR="003F12EB" w:rsidRPr="00FD22F8" w:rsidRDefault="003F12EB" w:rsidP="00F0070B">
            <w:pPr>
              <w:spacing w:after="20"/>
              <w:jc w:val="both"/>
              <w:rPr>
                <w:rFonts w:ascii="Arial" w:hAnsi="Arial"/>
                <w:sz w:val="22"/>
                <w:szCs w:val="22"/>
              </w:rPr>
            </w:pPr>
            <w:r w:rsidRPr="00FD22F8">
              <w:rPr>
                <w:rFonts w:ascii="Arial" w:hAnsi="Arial"/>
                <w:b/>
                <w:bCs/>
                <w:sz w:val="22"/>
                <w:szCs w:val="22"/>
              </w:rPr>
              <w:t>Korrekciós tényező értéke</w:t>
            </w:r>
          </w:p>
        </w:tc>
      </w:tr>
      <w:tr w:rsidR="003F12EB" w:rsidRPr="00FD22F8" w14:paraId="70B68404" w14:textId="77777777" w:rsidTr="00F0070B">
        <w:tc>
          <w:tcPr>
            <w:tcW w:w="78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72D045"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1</w:t>
            </w:r>
          </w:p>
        </w:tc>
        <w:tc>
          <w:tcPr>
            <w:tcW w:w="71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ACC9D2"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összkomfortos</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C76691"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1,00</w:t>
            </w:r>
          </w:p>
        </w:tc>
      </w:tr>
      <w:tr w:rsidR="003F12EB" w:rsidRPr="00FD22F8" w14:paraId="77E21B2B" w14:textId="77777777" w:rsidTr="00F0070B">
        <w:tc>
          <w:tcPr>
            <w:tcW w:w="78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F38843"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2</w:t>
            </w:r>
          </w:p>
        </w:tc>
        <w:tc>
          <w:tcPr>
            <w:tcW w:w="71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BF4117"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komfortos</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30E587"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0,95</w:t>
            </w:r>
          </w:p>
        </w:tc>
      </w:tr>
      <w:tr w:rsidR="003F12EB" w:rsidRPr="00FD22F8" w14:paraId="254DC1E1" w14:textId="77777777" w:rsidTr="00F0070B">
        <w:tc>
          <w:tcPr>
            <w:tcW w:w="78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394A7D"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3</w:t>
            </w:r>
          </w:p>
        </w:tc>
        <w:tc>
          <w:tcPr>
            <w:tcW w:w="71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EB7FA5"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félkomfortos</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8C9570"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0,70</w:t>
            </w:r>
          </w:p>
        </w:tc>
      </w:tr>
      <w:tr w:rsidR="003F12EB" w:rsidRPr="00FD22F8" w14:paraId="2909BECC" w14:textId="77777777" w:rsidTr="00F0070B">
        <w:tc>
          <w:tcPr>
            <w:tcW w:w="78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13A690"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4</w:t>
            </w:r>
          </w:p>
        </w:tc>
        <w:tc>
          <w:tcPr>
            <w:tcW w:w="71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E9A347"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komfort nélküli</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29A0C8"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0,45</w:t>
            </w:r>
          </w:p>
        </w:tc>
      </w:tr>
      <w:tr w:rsidR="003F12EB" w:rsidRPr="00FD22F8" w14:paraId="3BE2C4A5" w14:textId="77777777" w:rsidTr="00F0070B">
        <w:tc>
          <w:tcPr>
            <w:tcW w:w="78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E95D0A"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5</w:t>
            </w:r>
          </w:p>
        </w:tc>
        <w:tc>
          <w:tcPr>
            <w:tcW w:w="71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A34D09"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szükséglakás</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CF043F"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0,28</w:t>
            </w:r>
          </w:p>
        </w:tc>
      </w:tr>
    </w:tbl>
    <w:p w14:paraId="059ECD08" w14:textId="77777777" w:rsidR="003F12EB" w:rsidRPr="00FD22F8" w:rsidRDefault="003F12EB" w:rsidP="003F12EB">
      <w:pPr>
        <w:pStyle w:val="Listaszerbekezds"/>
        <w:numPr>
          <w:ilvl w:val="0"/>
          <w:numId w:val="3"/>
        </w:numPr>
        <w:suppressAutoHyphens w:val="0"/>
        <w:autoSpaceDN/>
        <w:spacing w:before="100" w:beforeAutospacing="1" w:after="100" w:afterAutospacing="1"/>
        <w:ind w:left="426"/>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t>Korrekciós tényező: D</w:t>
      </w:r>
    </w:p>
    <w:tbl>
      <w:tblPr>
        <w:tblW w:w="9364" w:type="dxa"/>
        <w:tblCellMar>
          <w:top w:w="15" w:type="dxa"/>
          <w:left w:w="15" w:type="dxa"/>
          <w:bottom w:w="15" w:type="dxa"/>
          <w:right w:w="15" w:type="dxa"/>
        </w:tblCellMar>
        <w:tblLook w:val="04A0" w:firstRow="1" w:lastRow="0" w:firstColumn="1" w:lastColumn="0" w:noHBand="0" w:noVBand="1"/>
      </w:tblPr>
      <w:tblGrid>
        <w:gridCol w:w="1021"/>
        <w:gridCol w:w="6925"/>
        <w:gridCol w:w="1418"/>
      </w:tblGrid>
      <w:tr w:rsidR="003F12EB" w:rsidRPr="00FD22F8" w14:paraId="0651C4D0" w14:textId="77777777" w:rsidTr="00F0070B">
        <w:tc>
          <w:tcPr>
            <w:tcW w:w="10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2C4C47" w14:textId="77777777" w:rsidR="003F12EB" w:rsidRPr="00FD22F8" w:rsidRDefault="003F12EB" w:rsidP="00F0070B">
            <w:pPr>
              <w:spacing w:before="100" w:beforeAutospacing="1" w:after="20"/>
              <w:ind w:firstLine="180"/>
              <w:jc w:val="both"/>
              <w:rPr>
                <w:rFonts w:ascii="Arial" w:hAnsi="Arial"/>
                <w:sz w:val="22"/>
                <w:szCs w:val="22"/>
              </w:rPr>
            </w:pPr>
          </w:p>
        </w:tc>
        <w:tc>
          <w:tcPr>
            <w:tcW w:w="692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770541" w14:textId="77777777" w:rsidR="003F12EB" w:rsidRPr="00FD22F8" w:rsidRDefault="003F12EB" w:rsidP="00F0070B">
            <w:pPr>
              <w:spacing w:after="20"/>
              <w:ind w:firstLine="180"/>
              <w:jc w:val="both"/>
              <w:rPr>
                <w:rFonts w:ascii="Arial" w:hAnsi="Arial"/>
                <w:sz w:val="22"/>
                <w:szCs w:val="22"/>
              </w:rPr>
            </w:pPr>
            <w:r w:rsidRPr="00FD22F8">
              <w:rPr>
                <w:rFonts w:ascii="Arial" w:hAnsi="Arial"/>
                <w:b/>
                <w:bCs/>
                <w:sz w:val="22"/>
                <w:szCs w:val="22"/>
              </w:rPr>
              <w:t>A lakás műszaki, minőségi jellemzői</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150B3" w14:textId="77777777" w:rsidR="003F12EB" w:rsidRPr="00FD22F8" w:rsidRDefault="003F12EB" w:rsidP="00F0070B">
            <w:pPr>
              <w:spacing w:after="20"/>
              <w:jc w:val="both"/>
              <w:rPr>
                <w:rFonts w:ascii="Arial" w:hAnsi="Arial"/>
                <w:sz w:val="22"/>
                <w:szCs w:val="22"/>
              </w:rPr>
            </w:pPr>
            <w:r w:rsidRPr="00FD22F8">
              <w:rPr>
                <w:rFonts w:ascii="Arial" w:hAnsi="Arial"/>
                <w:b/>
                <w:bCs/>
                <w:sz w:val="22"/>
                <w:szCs w:val="22"/>
              </w:rPr>
              <w:t>Korrekciós tényező értéke</w:t>
            </w:r>
          </w:p>
        </w:tc>
      </w:tr>
      <w:tr w:rsidR="003F12EB" w:rsidRPr="00FD22F8" w14:paraId="48B24F42" w14:textId="77777777" w:rsidTr="00F0070B">
        <w:tc>
          <w:tcPr>
            <w:tcW w:w="10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F814B1"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1</w:t>
            </w:r>
          </w:p>
        </w:tc>
        <w:tc>
          <w:tcPr>
            <w:tcW w:w="692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3E7577"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új építésű vagy újszerű állapotú</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2CFB52"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1,10</w:t>
            </w:r>
          </w:p>
        </w:tc>
      </w:tr>
      <w:tr w:rsidR="003F12EB" w:rsidRPr="00FD22F8" w14:paraId="4B82AF9C" w14:textId="77777777" w:rsidTr="00F0070B">
        <w:tc>
          <w:tcPr>
            <w:tcW w:w="10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9761FA"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2</w:t>
            </w:r>
          </w:p>
        </w:tc>
        <w:tc>
          <w:tcPr>
            <w:tcW w:w="692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96AD33"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normál állapotú</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7F879F"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1,00</w:t>
            </w:r>
          </w:p>
        </w:tc>
      </w:tr>
      <w:tr w:rsidR="003F12EB" w:rsidRPr="00FD22F8" w14:paraId="1330E605" w14:textId="77777777" w:rsidTr="00F0070B">
        <w:tc>
          <w:tcPr>
            <w:tcW w:w="102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97CD22"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3</w:t>
            </w:r>
          </w:p>
        </w:tc>
        <w:tc>
          <w:tcPr>
            <w:tcW w:w="692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A58CE9"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felújításra szorul</w:t>
            </w:r>
          </w:p>
        </w:tc>
        <w:tc>
          <w:tcPr>
            <w:tcW w:w="14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B8E5A" w14:textId="77777777" w:rsidR="003F12EB" w:rsidRPr="00FD22F8" w:rsidRDefault="003F12EB" w:rsidP="00F0070B">
            <w:pPr>
              <w:spacing w:after="20"/>
              <w:jc w:val="both"/>
              <w:rPr>
                <w:rFonts w:ascii="Arial" w:hAnsi="Arial"/>
                <w:sz w:val="22"/>
                <w:szCs w:val="22"/>
              </w:rPr>
            </w:pPr>
            <w:r w:rsidRPr="00FD22F8">
              <w:rPr>
                <w:rFonts w:ascii="Arial" w:hAnsi="Arial"/>
                <w:sz w:val="22"/>
                <w:szCs w:val="22"/>
              </w:rPr>
              <w:t>egyedi elbírálás alapján</w:t>
            </w:r>
          </w:p>
        </w:tc>
      </w:tr>
    </w:tbl>
    <w:p w14:paraId="55F500B1" w14:textId="77777777" w:rsidR="003F12EB" w:rsidRPr="00FD22F8" w:rsidRDefault="003F12EB" w:rsidP="003F12EB">
      <w:pPr>
        <w:spacing w:before="100" w:beforeAutospacing="1" w:after="100" w:afterAutospacing="1"/>
        <w:contextualSpacing/>
        <w:jc w:val="both"/>
        <w:rPr>
          <w:rFonts w:ascii="Arial" w:hAnsi="Arial"/>
          <w:b/>
          <w:bCs/>
          <w:sz w:val="22"/>
          <w:szCs w:val="22"/>
        </w:rPr>
      </w:pPr>
    </w:p>
    <w:p w14:paraId="33286CF4" w14:textId="77777777" w:rsidR="003F12EB" w:rsidRPr="00FD22F8" w:rsidRDefault="003F12EB" w:rsidP="003F12EB">
      <w:pPr>
        <w:pStyle w:val="Listaszerbekezds"/>
        <w:numPr>
          <w:ilvl w:val="0"/>
          <w:numId w:val="3"/>
        </w:numPr>
        <w:suppressAutoHyphens w:val="0"/>
        <w:autoSpaceDN/>
        <w:spacing w:before="100" w:beforeAutospacing="1" w:after="100" w:afterAutospacing="1"/>
        <w:ind w:left="426"/>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lastRenderedPageBreak/>
        <w:t>Korrekciós tényező: E</w:t>
      </w:r>
    </w:p>
    <w:tbl>
      <w:tblPr>
        <w:tblW w:w="9348" w:type="dxa"/>
        <w:tblCellMar>
          <w:top w:w="15" w:type="dxa"/>
          <w:left w:w="15" w:type="dxa"/>
          <w:bottom w:w="15" w:type="dxa"/>
          <w:right w:w="15" w:type="dxa"/>
        </w:tblCellMar>
        <w:tblLook w:val="04A0" w:firstRow="1" w:lastRow="0" w:firstColumn="1" w:lastColumn="0" w:noHBand="0" w:noVBand="1"/>
      </w:tblPr>
      <w:tblGrid>
        <w:gridCol w:w="1071"/>
        <w:gridCol w:w="6897"/>
        <w:gridCol w:w="1380"/>
      </w:tblGrid>
      <w:tr w:rsidR="003F12EB" w:rsidRPr="00FD22F8" w14:paraId="06E92431" w14:textId="77777777" w:rsidTr="00F0070B">
        <w:tc>
          <w:tcPr>
            <w:tcW w:w="107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E8A0A3" w14:textId="77777777" w:rsidR="003F12EB" w:rsidRPr="00FD22F8" w:rsidRDefault="003F12EB" w:rsidP="00F0070B">
            <w:pPr>
              <w:spacing w:before="100" w:beforeAutospacing="1" w:after="20"/>
              <w:ind w:firstLine="180"/>
              <w:jc w:val="both"/>
              <w:rPr>
                <w:rFonts w:ascii="Arial" w:hAnsi="Arial"/>
                <w:sz w:val="22"/>
                <w:szCs w:val="22"/>
              </w:rPr>
            </w:pPr>
          </w:p>
        </w:tc>
        <w:tc>
          <w:tcPr>
            <w:tcW w:w="689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675871" w14:textId="77777777" w:rsidR="003F12EB" w:rsidRPr="00FD22F8" w:rsidRDefault="003F12EB" w:rsidP="00F0070B">
            <w:pPr>
              <w:spacing w:after="20"/>
              <w:ind w:firstLine="180"/>
              <w:jc w:val="both"/>
              <w:rPr>
                <w:rFonts w:ascii="Arial" w:hAnsi="Arial"/>
                <w:sz w:val="22"/>
                <w:szCs w:val="22"/>
              </w:rPr>
            </w:pPr>
            <w:r w:rsidRPr="00FD22F8">
              <w:rPr>
                <w:rFonts w:ascii="Arial" w:hAnsi="Arial"/>
                <w:b/>
                <w:bCs/>
                <w:sz w:val="22"/>
                <w:szCs w:val="22"/>
              </w:rPr>
              <w:t>A lakást magába foglaló épület műszaki állapota</w:t>
            </w:r>
          </w:p>
        </w:tc>
        <w:tc>
          <w:tcPr>
            <w:tcW w:w="138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B8CEFB" w14:textId="77777777" w:rsidR="003F12EB" w:rsidRPr="00FD22F8" w:rsidRDefault="003F12EB" w:rsidP="00F0070B">
            <w:pPr>
              <w:spacing w:after="20"/>
              <w:jc w:val="both"/>
              <w:rPr>
                <w:rFonts w:ascii="Arial" w:hAnsi="Arial"/>
                <w:sz w:val="22"/>
                <w:szCs w:val="22"/>
              </w:rPr>
            </w:pPr>
            <w:r w:rsidRPr="00FD22F8">
              <w:rPr>
                <w:rFonts w:ascii="Arial" w:hAnsi="Arial"/>
                <w:b/>
                <w:bCs/>
                <w:sz w:val="22"/>
                <w:szCs w:val="22"/>
              </w:rPr>
              <w:t>Korrekciós tényező értéke</w:t>
            </w:r>
          </w:p>
        </w:tc>
      </w:tr>
      <w:tr w:rsidR="003F12EB" w:rsidRPr="00FD22F8" w14:paraId="6AC635BD" w14:textId="77777777" w:rsidTr="00F0070B">
        <w:tc>
          <w:tcPr>
            <w:tcW w:w="107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1E1756"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1</w:t>
            </w:r>
          </w:p>
        </w:tc>
        <w:tc>
          <w:tcPr>
            <w:tcW w:w="689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721D2B"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jó</w:t>
            </w:r>
          </w:p>
        </w:tc>
        <w:tc>
          <w:tcPr>
            <w:tcW w:w="138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D5CA7E"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1,000</w:t>
            </w:r>
          </w:p>
        </w:tc>
      </w:tr>
      <w:tr w:rsidR="003F12EB" w:rsidRPr="00FD22F8" w14:paraId="03FE45CA" w14:textId="77777777" w:rsidTr="00F0070B">
        <w:tc>
          <w:tcPr>
            <w:tcW w:w="107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087823"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2</w:t>
            </w:r>
          </w:p>
        </w:tc>
        <w:tc>
          <w:tcPr>
            <w:tcW w:w="689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F5C6E2"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közepes</w:t>
            </w:r>
          </w:p>
        </w:tc>
        <w:tc>
          <w:tcPr>
            <w:tcW w:w="138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DBA2B9"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0,925</w:t>
            </w:r>
          </w:p>
        </w:tc>
      </w:tr>
      <w:tr w:rsidR="003F12EB" w:rsidRPr="00FD22F8" w14:paraId="77325423" w14:textId="77777777" w:rsidTr="00F0070B">
        <w:tc>
          <w:tcPr>
            <w:tcW w:w="107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C7FACC" w14:textId="77777777" w:rsidR="003F12EB" w:rsidRPr="00FD22F8" w:rsidRDefault="003F12EB" w:rsidP="00F0070B">
            <w:pPr>
              <w:spacing w:before="100" w:beforeAutospacing="1" w:after="20"/>
              <w:ind w:firstLine="180"/>
              <w:jc w:val="both"/>
              <w:rPr>
                <w:rFonts w:ascii="Arial" w:hAnsi="Arial"/>
                <w:sz w:val="22"/>
                <w:szCs w:val="22"/>
              </w:rPr>
            </w:pPr>
            <w:r w:rsidRPr="00FD22F8">
              <w:rPr>
                <w:rFonts w:ascii="Arial" w:hAnsi="Arial"/>
                <w:b/>
                <w:bCs/>
                <w:sz w:val="22"/>
                <w:szCs w:val="22"/>
              </w:rPr>
              <w:t>3</w:t>
            </w:r>
          </w:p>
        </w:tc>
        <w:tc>
          <w:tcPr>
            <w:tcW w:w="689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ED4897"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rossz</w:t>
            </w:r>
          </w:p>
        </w:tc>
        <w:tc>
          <w:tcPr>
            <w:tcW w:w="138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069295" w14:textId="77777777" w:rsidR="003F12EB" w:rsidRPr="00FD22F8" w:rsidRDefault="003F12EB" w:rsidP="00F0070B">
            <w:pPr>
              <w:spacing w:after="20"/>
              <w:ind w:firstLine="180"/>
              <w:jc w:val="both"/>
              <w:rPr>
                <w:rFonts w:ascii="Arial" w:hAnsi="Arial"/>
                <w:sz w:val="22"/>
                <w:szCs w:val="22"/>
              </w:rPr>
            </w:pPr>
            <w:r w:rsidRPr="00FD22F8">
              <w:rPr>
                <w:rFonts w:ascii="Arial" w:hAnsi="Arial"/>
                <w:sz w:val="22"/>
                <w:szCs w:val="22"/>
              </w:rPr>
              <w:t>0,850</w:t>
            </w:r>
          </w:p>
        </w:tc>
      </w:tr>
    </w:tbl>
    <w:p w14:paraId="60D2C623" w14:textId="77777777" w:rsidR="003F12EB" w:rsidRPr="00FD22F8" w:rsidRDefault="003F12EB" w:rsidP="003F12EB">
      <w:pPr>
        <w:pStyle w:val="Listaszerbekezds"/>
        <w:numPr>
          <w:ilvl w:val="2"/>
          <w:numId w:val="1"/>
        </w:numPr>
        <w:suppressAutoHyphens w:val="0"/>
        <w:autoSpaceDN/>
        <w:spacing w:before="100" w:beforeAutospacing="1" w:after="100" w:afterAutospacing="1"/>
        <w:contextualSpacing/>
        <w:jc w:val="both"/>
        <w:textAlignment w:val="auto"/>
        <w:rPr>
          <w:rFonts w:ascii="Arial" w:hAnsi="Arial"/>
          <w:b/>
          <w:bCs/>
          <w:kern w:val="0"/>
          <w:sz w:val="22"/>
          <w:szCs w:val="22"/>
          <w:lang w:eastAsia="hu-HU"/>
        </w:rPr>
      </w:pPr>
      <w:r w:rsidRPr="00FD22F8">
        <w:rPr>
          <w:rFonts w:ascii="Arial" w:hAnsi="Arial"/>
          <w:b/>
          <w:bCs/>
          <w:kern w:val="0"/>
          <w:sz w:val="22"/>
          <w:szCs w:val="22"/>
          <w:lang w:eastAsia="hu-HU"/>
        </w:rPr>
        <w:t>Az alapterület (T):</w:t>
      </w:r>
    </w:p>
    <w:p w14:paraId="11081DA3" w14:textId="77777777" w:rsidR="003F12EB" w:rsidRPr="00FD22F8" w:rsidRDefault="003F12EB" w:rsidP="003F12EB">
      <w:pPr>
        <w:spacing w:before="100" w:beforeAutospacing="1" w:after="100" w:afterAutospacing="1"/>
        <w:jc w:val="both"/>
        <w:rPr>
          <w:rFonts w:ascii="Arial" w:hAnsi="Arial"/>
          <w:sz w:val="22"/>
          <w:szCs w:val="22"/>
        </w:rPr>
      </w:pPr>
      <w:r w:rsidRPr="00FD22F8">
        <w:rPr>
          <w:rFonts w:ascii="Arial" w:hAnsi="Arial"/>
          <w:sz w:val="22"/>
          <w:szCs w:val="22"/>
        </w:rPr>
        <w:t>Az alapterület (T) megállapításánál a lakás összes helyiségének teljes területét figyelembe kell venni az alábbiak szerint:</w:t>
      </w:r>
    </w:p>
    <w:p w14:paraId="7F659F6C" w14:textId="77777777" w:rsidR="003F12EB" w:rsidRPr="00FD22F8" w:rsidRDefault="003F12EB" w:rsidP="003F12EB">
      <w:pPr>
        <w:pStyle w:val="Listaszerbekezds"/>
        <w:numPr>
          <w:ilvl w:val="0"/>
          <w:numId w:val="4"/>
        </w:numPr>
        <w:suppressAutoHyphens w:val="0"/>
        <w:autoSpaceDN/>
        <w:spacing w:before="100" w:beforeAutospacing="1" w:after="100" w:afterAutospacing="1"/>
        <w:contextualSpacing/>
        <w:jc w:val="both"/>
        <w:textAlignment w:val="auto"/>
        <w:rPr>
          <w:rFonts w:ascii="Arial" w:hAnsi="Arial"/>
          <w:kern w:val="0"/>
          <w:sz w:val="22"/>
          <w:szCs w:val="22"/>
          <w:lang w:eastAsia="hu-HU"/>
        </w:rPr>
      </w:pPr>
      <w:r w:rsidRPr="00FD22F8">
        <w:rPr>
          <w:rFonts w:ascii="Arial" w:hAnsi="Arial"/>
          <w:kern w:val="0"/>
          <w:sz w:val="22"/>
          <w:szCs w:val="22"/>
          <w:lang w:eastAsia="hu-HU"/>
        </w:rPr>
        <w:t>A vakolt falsíkok között a padlószint felett 1 m magasságban mért teljes terület 1,9 m szabad belmagasságot elérő része, a beépített bútorok által elfoglalt teljes terület, valamint loggia, zárt (fedett), oldalról átlátásgátló módon kialakított erkély területének fele.</w:t>
      </w:r>
    </w:p>
    <w:p w14:paraId="78A1EEB0" w14:textId="77777777" w:rsidR="003F12EB" w:rsidRPr="00FD22F8" w:rsidRDefault="003F12EB" w:rsidP="003F12EB">
      <w:pPr>
        <w:pStyle w:val="Listaszerbekezds"/>
        <w:numPr>
          <w:ilvl w:val="0"/>
          <w:numId w:val="4"/>
        </w:numPr>
        <w:suppressAutoHyphens w:val="0"/>
        <w:autoSpaceDN/>
        <w:spacing w:before="100" w:beforeAutospacing="1" w:after="100" w:afterAutospacing="1"/>
        <w:contextualSpacing/>
        <w:jc w:val="both"/>
        <w:textAlignment w:val="auto"/>
        <w:rPr>
          <w:rFonts w:ascii="Arial" w:hAnsi="Arial"/>
          <w:kern w:val="0"/>
          <w:sz w:val="22"/>
          <w:szCs w:val="22"/>
          <w:lang w:eastAsia="hu-HU"/>
        </w:rPr>
      </w:pPr>
      <w:r w:rsidRPr="00FD22F8">
        <w:rPr>
          <w:rFonts w:ascii="Arial" w:hAnsi="Arial"/>
          <w:kern w:val="0"/>
          <w:sz w:val="22"/>
          <w:szCs w:val="22"/>
          <w:lang w:eastAsia="hu-HU"/>
        </w:rPr>
        <w:t>Az alapterület megállapításánál figyelmen kívül kell hagyni a lakás belső lépcsője felső szintnyílásának területét.</w:t>
      </w:r>
    </w:p>
    <w:p w14:paraId="774ECAE6" w14:textId="77777777" w:rsidR="003F12EB" w:rsidRPr="00FD22F8" w:rsidRDefault="003F12EB" w:rsidP="003F12EB">
      <w:pPr>
        <w:pStyle w:val="Listaszerbekezds"/>
        <w:numPr>
          <w:ilvl w:val="0"/>
          <w:numId w:val="4"/>
        </w:numPr>
        <w:suppressAutoHyphens w:val="0"/>
        <w:autoSpaceDN/>
        <w:spacing w:before="100" w:beforeAutospacing="1" w:after="100" w:afterAutospacing="1"/>
        <w:contextualSpacing/>
        <w:jc w:val="both"/>
        <w:textAlignment w:val="auto"/>
        <w:rPr>
          <w:rFonts w:ascii="Arial" w:hAnsi="Arial"/>
          <w:kern w:val="0"/>
          <w:sz w:val="22"/>
          <w:szCs w:val="22"/>
          <w:lang w:eastAsia="hu-HU"/>
        </w:rPr>
      </w:pPr>
      <w:r w:rsidRPr="00FD22F8">
        <w:rPr>
          <w:rFonts w:ascii="Arial" w:hAnsi="Arial"/>
          <w:kern w:val="0"/>
          <w:sz w:val="22"/>
          <w:szCs w:val="22"/>
          <w:lang w:eastAsia="hu-HU"/>
        </w:rPr>
        <w:t>Nem számítható be a helyiség alapterületébe a falsíkokon kívül eső terület (ajtóknál és ablakoknál lévő beugrások, a 0,5 m</w:t>
      </w:r>
      <w:r w:rsidRPr="00FD22F8">
        <w:rPr>
          <w:rFonts w:ascii="Arial" w:hAnsi="Arial"/>
          <w:kern w:val="0"/>
          <w:sz w:val="22"/>
          <w:szCs w:val="22"/>
          <w:vertAlign w:val="superscript"/>
          <w:lang w:eastAsia="hu-HU"/>
        </w:rPr>
        <w:t>2</w:t>
      </w:r>
      <w:r w:rsidRPr="00FD22F8">
        <w:rPr>
          <w:rFonts w:ascii="Arial" w:hAnsi="Arial"/>
          <w:kern w:val="0"/>
          <w:sz w:val="22"/>
          <w:szCs w:val="22"/>
          <w:lang w:eastAsia="hu-HU"/>
        </w:rPr>
        <w:t>-nél kisebb alapterületű falfülkék, stb.) és a falsíkokból kiugró falpillérek által elfoglalt terület.</w:t>
      </w:r>
    </w:p>
    <w:p w14:paraId="24CAC83A" w14:textId="34908A71" w:rsidR="003F12EB" w:rsidRPr="00FD22F8" w:rsidRDefault="003F12EB" w:rsidP="003F12EB">
      <w:pPr>
        <w:pStyle w:val="Listaszerbekezds"/>
        <w:numPr>
          <w:ilvl w:val="0"/>
          <w:numId w:val="4"/>
        </w:numPr>
        <w:suppressAutoHyphens w:val="0"/>
        <w:autoSpaceDN/>
        <w:spacing w:before="100" w:beforeAutospacing="1" w:after="100" w:afterAutospacing="1"/>
        <w:contextualSpacing/>
        <w:jc w:val="both"/>
        <w:textAlignment w:val="auto"/>
        <w:rPr>
          <w:rFonts w:ascii="Arial" w:hAnsi="Arial"/>
          <w:kern w:val="0"/>
          <w:sz w:val="22"/>
          <w:szCs w:val="22"/>
          <w:lang w:eastAsia="hu-HU"/>
        </w:rPr>
      </w:pPr>
      <w:r w:rsidRPr="00FD22F8">
        <w:rPr>
          <w:rFonts w:ascii="Arial" w:hAnsi="Arial"/>
          <w:kern w:val="0"/>
          <w:sz w:val="22"/>
          <w:szCs w:val="22"/>
          <w:lang w:eastAsia="hu-HU"/>
        </w:rPr>
        <w:t>A számított alapterületet négyzetméterben, a kerekítés szabályai szerint egész számra kerekítve kell megadni.</w:t>
      </w:r>
    </w:p>
    <w:p w14:paraId="55EE7CAA" w14:textId="77777777" w:rsidR="003F12EB" w:rsidRDefault="003F12EB" w:rsidP="00CF6104">
      <w:pPr>
        <w:spacing w:before="100" w:beforeAutospacing="1" w:after="100" w:afterAutospacing="1"/>
        <w:jc w:val="center"/>
        <w:rPr>
          <w:b/>
          <w:bCs/>
          <w:sz w:val="24"/>
          <w:szCs w:val="24"/>
        </w:rPr>
      </w:pPr>
    </w:p>
    <w:sectPr w:rsidR="003F12EB" w:rsidSect="003C4B2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15FA" w14:textId="77777777" w:rsidR="003C4B21" w:rsidRDefault="003C4B21" w:rsidP="003C4B21">
      <w:r>
        <w:separator/>
      </w:r>
    </w:p>
  </w:endnote>
  <w:endnote w:type="continuationSeparator" w:id="0">
    <w:p w14:paraId="30A7B8C0" w14:textId="77777777" w:rsidR="003C4B21" w:rsidRDefault="003C4B21" w:rsidP="003C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9DD3" w14:textId="77777777" w:rsidR="003C4B21" w:rsidRDefault="003C4B21" w:rsidP="003C4B21">
      <w:r>
        <w:separator/>
      </w:r>
    </w:p>
  </w:footnote>
  <w:footnote w:type="continuationSeparator" w:id="0">
    <w:p w14:paraId="25160142" w14:textId="77777777" w:rsidR="003C4B21" w:rsidRDefault="003C4B21" w:rsidP="003C4B21">
      <w:r>
        <w:continuationSeparator/>
      </w:r>
    </w:p>
  </w:footnote>
  <w:footnote w:id="1">
    <w:p w14:paraId="3ECE416A" w14:textId="54085C6D" w:rsidR="00623B59" w:rsidRDefault="00623B59">
      <w:pPr>
        <w:pStyle w:val="Lbjegyzetszveg"/>
      </w:pPr>
      <w:r>
        <w:rPr>
          <w:rStyle w:val="Lbjegyzet-hivatkozs"/>
        </w:rPr>
        <w:footnoteRef/>
      </w:r>
      <w:r>
        <w:t xml:space="preserve"> A (3) bekezdést hatályon kívül helyezte a 24/2025. (VI. 30.) önkorm. rendelet 3. § a) pontja. Hatálytalan 2025. 07. 01-től.</w:t>
      </w:r>
    </w:p>
  </w:footnote>
  <w:footnote w:id="2">
    <w:p w14:paraId="4682C027" w14:textId="6510E1C5" w:rsidR="003C4B21" w:rsidRDefault="003C4B21">
      <w:pPr>
        <w:pStyle w:val="Lbjegyzetszveg"/>
      </w:pPr>
      <w:r>
        <w:rPr>
          <w:rStyle w:val="Lbjegyzet-hivatkozs"/>
        </w:rPr>
        <w:footnoteRef/>
      </w:r>
      <w:r>
        <w:t xml:space="preserve"> A (4) bekezdést hatályon kívül helyezte a 13/2025. (V. 26.) önkorm. rendelet 1. §-a. Hatálytalan 2025. 05. 27-től.</w:t>
      </w:r>
    </w:p>
  </w:footnote>
  <w:footnote w:id="3">
    <w:p w14:paraId="6F7CDF40" w14:textId="5820A11E" w:rsidR="00623B59" w:rsidRDefault="00623B59">
      <w:pPr>
        <w:pStyle w:val="Lbjegyzetszveg"/>
      </w:pPr>
      <w:r>
        <w:rPr>
          <w:rStyle w:val="Lbjegyzet-hivatkozs"/>
        </w:rPr>
        <w:footnoteRef/>
      </w:r>
      <w:r>
        <w:t xml:space="preserve"> A b) pontot módosította a 24/2025. (VI. 30.) önkorm. rendelet 1. § (1) bekezdése. Hatályos 2025. 07. 01-től.</w:t>
      </w:r>
    </w:p>
  </w:footnote>
  <w:footnote w:id="4">
    <w:p w14:paraId="24A7F086" w14:textId="43B89E79" w:rsidR="00623B59" w:rsidRDefault="00623B59">
      <w:pPr>
        <w:pStyle w:val="Lbjegyzetszveg"/>
      </w:pPr>
      <w:r>
        <w:rPr>
          <w:rStyle w:val="Lbjegyzet-hivatkozs"/>
        </w:rPr>
        <w:footnoteRef/>
      </w:r>
      <w:r>
        <w:t xml:space="preserve"> A c) ponttal kiegészítette a 24/2025. (VI. 30.) önkorm. rendelet 1. § (2) bekezdése. Hatályos 2025. 07. 01-től.</w:t>
      </w:r>
    </w:p>
  </w:footnote>
  <w:footnote w:id="5">
    <w:p w14:paraId="51B5EA0F" w14:textId="6E8BB34F" w:rsidR="00623B59" w:rsidRDefault="00623B59">
      <w:pPr>
        <w:pStyle w:val="Lbjegyzetszveg"/>
      </w:pPr>
      <w:r>
        <w:rPr>
          <w:rStyle w:val="Lbjegyzet-hivatkozs"/>
        </w:rPr>
        <w:footnoteRef/>
      </w:r>
      <w:r>
        <w:t xml:space="preserve"> A c) pontot hatályon kívül helyezte a 24/2025. (VI. 30.) önkorm. rendelet 3. § b) pontja. Hatálytalan 2025. 07. 01-től.</w:t>
      </w:r>
    </w:p>
  </w:footnote>
  <w:footnote w:id="6">
    <w:p w14:paraId="4A1200EF" w14:textId="400E2CD0" w:rsidR="004724DE" w:rsidRDefault="004724DE">
      <w:pPr>
        <w:pStyle w:val="Lbjegyzetszveg"/>
      </w:pPr>
      <w:r>
        <w:rPr>
          <w:rStyle w:val="Lbjegyzet-hivatkozs"/>
        </w:rPr>
        <w:footnoteRef/>
      </w:r>
      <w:r>
        <w:t xml:space="preserve"> Az 1. mellékletet módosította a 24/2025. (VI. 30.) önkorm. rendelet 2. §-a. Hatályos 2025. 07. 01-től.</w:t>
      </w:r>
    </w:p>
  </w:footnote>
  <w:footnote w:id="7">
    <w:p w14:paraId="322ACF18" w14:textId="13D0DABB" w:rsidR="00F03CA2" w:rsidRDefault="00F03CA2">
      <w:pPr>
        <w:pStyle w:val="Lbjegyzetszveg"/>
      </w:pPr>
      <w:r>
        <w:rPr>
          <w:rStyle w:val="Lbjegyzet-hivatkozs"/>
        </w:rPr>
        <w:footnoteRef/>
      </w:r>
      <w:r>
        <w:t xml:space="preserve"> Az 1. mellékletet módosította a 17/2026. (VI. 29.) önkorm. rendelet 1. §-a. </w:t>
      </w:r>
      <w:r w:rsidR="00931B64">
        <w:t>H</w:t>
      </w:r>
      <w:r>
        <w:t>atályos 2026. 07. 01-től.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2686" w14:textId="77777777" w:rsidR="003C4B21" w:rsidRPr="003C4B21" w:rsidRDefault="003C4B21" w:rsidP="003C4B21">
    <w:pPr>
      <w:tabs>
        <w:tab w:val="center" w:pos="4536"/>
        <w:tab w:val="right" w:pos="9072"/>
      </w:tabs>
      <w:rPr>
        <w:b/>
        <w:bCs/>
        <w:sz w:val="24"/>
        <w:szCs w:val="24"/>
      </w:rPr>
    </w:pPr>
    <w:r w:rsidRPr="003C4B21">
      <w:rPr>
        <w:b/>
        <w:bCs/>
        <w:sz w:val="24"/>
        <w:szCs w:val="24"/>
      </w:rPr>
      <w:t xml:space="preserve">Módosításokkal egységes szerkezetbe foglalva. </w:t>
    </w:r>
  </w:p>
  <w:p w14:paraId="4EFCE594" w14:textId="05E726B7" w:rsidR="003C4B21" w:rsidRPr="003C4B21" w:rsidRDefault="003C4B21" w:rsidP="003C4B21">
    <w:pPr>
      <w:tabs>
        <w:tab w:val="center" w:pos="4536"/>
        <w:tab w:val="right" w:pos="9072"/>
      </w:tabs>
      <w:rPr>
        <w:b/>
        <w:bCs/>
        <w:sz w:val="24"/>
        <w:szCs w:val="24"/>
      </w:rPr>
    </w:pPr>
    <w:r w:rsidRPr="003C4B21">
      <w:rPr>
        <w:b/>
        <w:bCs/>
        <w:sz w:val="24"/>
        <w:szCs w:val="24"/>
      </w:rPr>
      <w:t>Lezárva: 202</w:t>
    </w:r>
    <w:r w:rsidR="00115921">
      <w:rPr>
        <w:b/>
        <w:bCs/>
        <w:sz w:val="24"/>
        <w:szCs w:val="24"/>
      </w:rPr>
      <w:t xml:space="preserve">6. </w:t>
    </w:r>
    <w:r w:rsidRPr="003C4B21">
      <w:rPr>
        <w:b/>
        <w:bCs/>
        <w:sz w:val="24"/>
        <w:szCs w:val="24"/>
      </w:rPr>
      <w:t>0</w:t>
    </w:r>
    <w:r w:rsidR="008F4570">
      <w:rPr>
        <w:b/>
        <w:bCs/>
        <w:sz w:val="24"/>
        <w:szCs w:val="24"/>
      </w:rPr>
      <w:t>6. 2</w:t>
    </w:r>
    <w:r w:rsidR="00115921">
      <w:rPr>
        <w:b/>
        <w:bCs/>
        <w:sz w:val="24"/>
        <w:szCs w:val="24"/>
      </w:rPr>
      <w:t>5</w:t>
    </w:r>
    <w:r w:rsidRPr="003C4B21">
      <w:rPr>
        <w:b/>
        <w:bCs/>
        <w:sz w:val="24"/>
        <w:szCs w:val="24"/>
      </w:rPr>
      <w:t>.</w:t>
    </w:r>
  </w:p>
  <w:p w14:paraId="57004531" w14:textId="1325A7F1" w:rsidR="003C4B21" w:rsidRPr="003C4B21" w:rsidRDefault="003C4B21" w:rsidP="003C4B21">
    <w:pPr>
      <w:tabs>
        <w:tab w:val="center" w:pos="4536"/>
        <w:tab w:val="right" w:pos="9072"/>
      </w:tabs>
      <w:jc w:val="center"/>
      <w:rPr>
        <w:b/>
        <w:bCs/>
        <w:sz w:val="24"/>
        <w:szCs w:val="24"/>
      </w:rPr>
    </w:pPr>
    <w:r w:rsidRPr="003C4B21">
      <w:rPr>
        <w:b/>
        <w:bCs/>
        <w:sz w:val="24"/>
        <w:szCs w:val="24"/>
      </w:rPr>
      <w:t>Hatályos: 202</w:t>
    </w:r>
    <w:r w:rsidR="00115921">
      <w:rPr>
        <w:b/>
        <w:bCs/>
        <w:sz w:val="24"/>
        <w:szCs w:val="24"/>
      </w:rPr>
      <w:t>6</w:t>
    </w:r>
    <w:r w:rsidRPr="003C4B21">
      <w:rPr>
        <w:b/>
        <w:bCs/>
        <w:sz w:val="24"/>
        <w:szCs w:val="24"/>
      </w:rPr>
      <w:t>. 0</w:t>
    </w:r>
    <w:r w:rsidR="008F4570">
      <w:rPr>
        <w:b/>
        <w:bCs/>
        <w:sz w:val="24"/>
        <w:szCs w:val="24"/>
      </w:rPr>
      <w:t>7. 01</w:t>
    </w:r>
    <w:r w:rsidRPr="003C4B21">
      <w:rPr>
        <w:b/>
        <w:bCs/>
        <w:sz w:val="24"/>
        <w:szCs w:val="24"/>
      </w:rPr>
      <w:t>. –</w:t>
    </w:r>
  </w:p>
  <w:p w14:paraId="68C8C4A9" w14:textId="77777777" w:rsidR="003C4B21" w:rsidRDefault="003C4B2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36BAF"/>
    <w:multiLevelType w:val="multilevel"/>
    <w:tmpl w:val="729AFE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5760FE"/>
    <w:multiLevelType w:val="hybridMultilevel"/>
    <w:tmpl w:val="2F66C108"/>
    <w:lvl w:ilvl="0" w:tplc="3E5A8964">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2" w15:restartNumberingAfterBreak="0">
    <w:nsid w:val="620650EE"/>
    <w:multiLevelType w:val="hybridMultilevel"/>
    <w:tmpl w:val="34644F50"/>
    <w:lvl w:ilvl="0" w:tplc="8B20C6A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72B02A2"/>
    <w:multiLevelType w:val="multilevel"/>
    <w:tmpl w:val="5A002E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8110416">
    <w:abstractNumId w:val="3"/>
  </w:num>
  <w:num w:numId="2" w16cid:durableId="452093040">
    <w:abstractNumId w:val="0"/>
  </w:num>
  <w:num w:numId="3" w16cid:durableId="1997414622">
    <w:abstractNumId w:val="1"/>
  </w:num>
  <w:num w:numId="4" w16cid:durableId="110600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1E"/>
    <w:rsid w:val="00013372"/>
    <w:rsid w:val="00102FF9"/>
    <w:rsid w:val="00115921"/>
    <w:rsid w:val="0022344F"/>
    <w:rsid w:val="003C4B21"/>
    <w:rsid w:val="003F12EB"/>
    <w:rsid w:val="004724DE"/>
    <w:rsid w:val="006022FF"/>
    <w:rsid w:val="006233EB"/>
    <w:rsid w:val="00623B59"/>
    <w:rsid w:val="00625619"/>
    <w:rsid w:val="006F3D19"/>
    <w:rsid w:val="007E1A93"/>
    <w:rsid w:val="007E1B13"/>
    <w:rsid w:val="00801D7E"/>
    <w:rsid w:val="008F4570"/>
    <w:rsid w:val="00931B64"/>
    <w:rsid w:val="009E70AD"/>
    <w:rsid w:val="00B3777E"/>
    <w:rsid w:val="00BB46C4"/>
    <w:rsid w:val="00BF36AB"/>
    <w:rsid w:val="00C5188F"/>
    <w:rsid w:val="00CB6D95"/>
    <w:rsid w:val="00CF6104"/>
    <w:rsid w:val="00D978CF"/>
    <w:rsid w:val="00E33FE1"/>
    <w:rsid w:val="00E7381E"/>
    <w:rsid w:val="00ED1F7D"/>
    <w:rsid w:val="00F03C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A1E9"/>
  <w15:chartTrackingRefBased/>
  <w15:docId w15:val="{F2273CB8-99F3-49C9-9687-FD3B6EAD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381E"/>
    <w:pPr>
      <w:spacing w:after="0" w:line="240" w:lineRule="auto"/>
    </w:pPr>
    <w:rPr>
      <w:rFonts w:ascii="Times New Roman" w:eastAsia="Times New Roman" w:hAnsi="Times New Roman" w:cs="Times New Roman"/>
      <w:kern w:val="0"/>
      <w:sz w:val="20"/>
      <w:szCs w:val="2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7381E"/>
    <w:pPr>
      <w:jc w:val="both"/>
    </w:pPr>
    <w:rPr>
      <w:rFonts w:cs="Calibri"/>
      <w:szCs w:val="18"/>
      <w:lang w:val="x-none" w:eastAsia="hi-IN" w:bidi="hi-IN"/>
    </w:rPr>
  </w:style>
  <w:style w:type="character" w:customStyle="1" w:styleId="SzvegtrzsChar">
    <w:name w:val="Szövegtörzs Char"/>
    <w:basedOn w:val="Bekezdsalapbettpusa"/>
    <w:link w:val="Szvegtrzs"/>
    <w:rsid w:val="00E7381E"/>
    <w:rPr>
      <w:rFonts w:ascii="Times New Roman" w:eastAsia="Times New Roman" w:hAnsi="Times New Roman" w:cs="Calibri"/>
      <w:kern w:val="0"/>
      <w:sz w:val="20"/>
      <w:szCs w:val="18"/>
      <w:lang w:val="x-none" w:eastAsia="hi-IN" w:bidi="hi-IN"/>
      <w14:ligatures w14:val="none"/>
    </w:rPr>
  </w:style>
  <w:style w:type="paragraph" w:styleId="lfej">
    <w:name w:val="header"/>
    <w:basedOn w:val="Norml"/>
    <w:link w:val="lfejChar"/>
    <w:uiPriority w:val="99"/>
    <w:unhideWhenUsed/>
    <w:rsid w:val="003C4B21"/>
    <w:pPr>
      <w:tabs>
        <w:tab w:val="center" w:pos="4536"/>
        <w:tab w:val="right" w:pos="9072"/>
      </w:tabs>
    </w:pPr>
  </w:style>
  <w:style w:type="character" w:customStyle="1" w:styleId="lfejChar">
    <w:name w:val="Élőfej Char"/>
    <w:basedOn w:val="Bekezdsalapbettpusa"/>
    <w:link w:val="lfej"/>
    <w:uiPriority w:val="99"/>
    <w:rsid w:val="003C4B21"/>
    <w:rPr>
      <w:rFonts w:ascii="Times New Roman" w:eastAsia="Times New Roman" w:hAnsi="Times New Roman" w:cs="Times New Roman"/>
      <w:kern w:val="0"/>
      <w:sz w:val="20"/>
      <w:szCs w:val="20"/>
      <w:lang w:eastAsia="hu-HU"/>
      <w14:ligatures w14:val="none"/>
    </w:rPr>
  </w:style>
  <w:style w:type="paragraph" w:styleId="llb">
    <w:name w:val="footer"/>
    <w:basedOn w:val="Norml"/>
    <w:link w:val="llbChar"/>
    <w:uiPriority w:val="99"/>
    <w:unhideWhenUsed/>
    <w:rsid w:val="003C4B21"/>
    <w:pPr>
      <w:tabs>
        <w:tab w:val="center" w:pos="4536"/>
        <w:tab w:val="right" w:pos="9072"/>
      </w:tabs>
    </w:pPr>
  </w:style>
  <w:style w:type="character" w:customStyle="1" w:styleId="llbChar">
    <w:name w:val="Élőláb Char"/>
    <w:basedOn w:val="Bekezdsalapbettpusa"/>
    <w:link w:val="llb"/>
    <w:uiPriority w:val="99"/>
    <w:rsid w:val="003C4B21"/>
    <w:rPr>
      <w:rFonts w:ascii="Times New Roman" w:eastAsia="Times New Roman" w:hAnsi="Times New Roman" w:cs="Times New Roman"/>
      <w:kern w:val="0"/>
      <w:sz w:val="20"/>
      <w:szCs w:val="20"/>
      <w:lang w:eastAsia="hu-HU"/>
      <w14:ligatures w14:val="none"/>
    </w:rPr>
  </w:style>
  <w:style w:type="paragraph" w:styleId="Lbjegyzetszveg">
    <w:name w:val="footnote text"/>
    <w:basedOn w:val="Norml"/>
    <w:link w:val="LbjegyzetszvegChar"/>
    <w:uiPriority w:val="99"/>
    <w:semiHidden/>
    <w:unhideWhenUsed/>
    <w:rsid w:val="003C4B21"/>
  </w:style>
  <w:style w:type="character" w:customStyle="1" w:styleId="LbjegyzetszvegChar">
    <w:name w:val="Lábjegyzetszöveg Char"/>
    <w:basedOn w:val="Bekezdsalapbettpusa"/>
    <w:link w:val="Lbjegyzetszveg"/>
    <w:uiPriority w:val="99"/>
    <w:semiHidden/>
    <w:rsid w:val="003C4B21"/>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3C4B21"/>
    <w:rPr>
      <w:vertAlign w:val="superscript"/>
    </w:rPr>
  </w:style>
  <w:style w:type="paragraph" w:styleId="Listaszerbekezds">
    <w:name w:val="List Paragraph"/>
    <w:basedOn w:val="Norml"/>
    <w:uiPriority w:val="34"/>
    <w:qFormat/>
    <w:rsid w:val="00CF6104"/>
    <w:pPr>
      <w:suppressAutoHyphens/>
      <w:autoSpaceDN w:val="0"/>
      <w:ind w:left="708"/>
      <w:textAlignment w:val="baseline"/>
    </w:pPr>
    <w:rPr>
      <w:rFonts w:ascii="Arial Narrow" w:hAnsi="Arial Narrow" w:cs="Lucida Sans Unicode"/>
      <w:kern w:val="3"/>
      <w:sz w:val="24"/>
      <w:lang w:eastAsia="zh-CN"/>
    </w:rPr>
  </w:style>
  <w:style w:type="table" w:styleId="Rcsostblzat">
    <w:name w:val="Table Grid"/>
    <w:basedOn w:val="Normltblzat"/>
    <w:uiPriority w:val="39"/>
    <w:rsid w:val="00CF6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AADF-39E9-48EE-AE6A-CEBB71E9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1300</Words>
  <Characters>8972</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Pőczéné Faics Gabriella</dc:creator>
  <cp:keywords/>
  <dc:description/>
  <cp:lastModifiedBy>dr. Termecz Marianna</cp:lastModifiedBy>
  <cp:revision>23</cp:revision>
  <dcterms:created xsi:type="dcterms:W3CDTF">2023-10-04T05:46:00Z</dcterms:created>
  <dcterms:modified xsi:type="dcterms:W3CDTF">2026-07-07T11:06:00Z</dcterms:modified>
</cp:coreProperties>
</file>